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7C37" w14:textId="4950BA70" w:rsidR="00B810E8" w:rsidRPr="00A25351" w:rsidRDefault="00452D2F" w:rsidP="004B3907">
      <w:pPr>
        <w:spacing w:before="0" w:after="0"/>
        <w:rPr>
          <w:lang w:val="de-DE"/>
        </w:rPr>
      </w:pPr>
      <w:r w:rsidRPr="00A25351">
        <w:rPr>
          <w:noProof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F7" wp14:editId="6B5C26FD">
                <wp:simplePos x="0" y="0"/>
                <wp:positionH relativeFrom="page">
                  <wp:posOffset>12700</wp:posOffset>
                </wp:positionH>
                <wp:positionV relativeFrom="paragraph">
                  <wp:posOffset>-621030</wp:posOffset>
                </wp:positionV>
                <wp:extent cx="7550150" cy="939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939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922B9DB" w14:textId="13161462" w:rsidR="009045C1" w:rsidRDefault="00E47560" w:rsidP="0020278E">
                            <w:pPr>
                              <w:pStyle w:val="ContactInfo"/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de-DE"/>
                              </w:rPr>
                              <w:t>Information</w:t>
                            </w:r>
                          </w:p>
                          <w:p w14:paraId="5F80C0DB" w14:textId="5E8575EA" w:rsidR="003A0435" w:rsidRDefault="00E47560" w:rsidP="0020278E">
                            <w:pPr>
                              <w:pStyle w:val="ContactInfo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Rechtnnormen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 xml:space="preserve"> der DS-GVO</w:t>
                            </w:r>
                          </w:p>
                          <w:p w14:paraId="6F982CF7" w14:textId="77777777" w:rsidR="009045C1" w:rsidRPr="00436CE9" w:rsidRDefault="009045C1" w:rsidP="0020278E">
                            <w:pPr>
                              <w:pStyle w:val="ContactInfo"/>
                              <w:rPr>
                                <w:lang w:val="de-DE"/>
                              </w:rPr>
                            </w:pPr>
                          </w:p>
                          <w:p w14:paraId="1E14BA7A" w14:textId="147A7C86" w:rsidR="008D510D" w:rsidRPr="00436CE9" w:rsidRDefault="00BA187B" w:rsidP="0020278E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Lfd.Nr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.:</w:t>
                            </w:r>
                            <w:r w:rsidR="00003ABD">
                              <w:rPr>
                                <w:lang w:val="de-DE"/>
                              </w:rPr>
                              <w:t xml:space="preserve"> </w:t>
                            </w:r>
                            <w:r w:rsidR="00663780" w:rsidRPr="00663780">
                              <w:rPr>
                                <w:lang w:val="de-DE"/>
                              </w:rPr>
                              <w:t>HI-{</w:t>
                            </w:r>
                            <w:proofErr w:type="spellStart"/>
                            <w:r w:rsidR="00663780" w:rsidRPr="00663780">
                              <w:rPr>
                                <w:lang w:val="de-DE"/>
                              </w:rPr>
                              <w:t>vereinskürzel</w:t>
                            </w:r>
                            <w:proofErr w:type="spellEnd"/>
                            <w:r w:rsidR="00663780" w:rsidRPr="00663780">
                              <w:rPr>
                                <w:lang w:val="de-DE"/>
                              </w:rPr>
                              <w:t>}-DS-D-6306-00</w:t>
                            </w:r>
                            <w:bookmarkStart w:id="0" w:name="_GoBack"/>
                            <w:bookmarkEnd w:id="0"/>
                          </w:p>
                          <w:p w14:paraId="1C429EE2" w14:textId="77777777" w:rsidR="008D510D" w:rsidRPr="00436CE9" w:rsidRDefault="008D510D" w:rsidP="00263C40">
                            <w:pPr>
                              <w:pStyle w:val="Contacts"/>
                              <w:rPr>
                                <w:lang w:val="de-DE"/>
                              </w:rPr>
                            </w:pPr>
                          </w:p>
                          <w:p w14:paraId="42D5FF4C" w14:textId="77777777" w:rsidR="008D510D" w:rsidRPr="00436CE9" w:rsidRDefault="008D510D" w:rsidP="00263C40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63F7" id="Rectangle 2" o:spid="_x0000_s1026" style="position:absolute;margin-left:1pt;margin-top:-48.9pt;width:594.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" filled="f" stroked="f" strokeweight="6pt">
                <v:textbox>
                  <w:txbxContent>
                    <w:p w14:paraId="6922B9DB" w14:textId="13161462" w:rsidR="009045C1" w:rsidRDefault="00E47560" w:rsidP="0020278E">
                      <w:pPr>
                        <w:pStyle w:val="ContactInfo"/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de-DE"/>
                        </w:rPr>
                        <w:t>Information</w:t>
                      </w:r>
                    </w:p>
                    <w:p w14:paraId="5F80C0DB" w14:textId="5E8575EA" w:rsidR="003A0435" w:rsidRDefault="00E47560" w:rsidP="0020278E">
                      <w:pPr>
                        <w:pStyle w:val="ContactInfo"/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Rechtnnormen</w:t>
                      </w:r>
                      <w:proofErr w:type="spellEnd"/>
                      <w:r>
                        <w:rPr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 xml:space="preserve"> der DS-GVO</w:t>
                      </w:r>
                    </w:p>
                    <w:p w14:paraId="6F982CF7" w14:textId="77777777" w:rsidR="009045C1" w:rsidRPr="00436CE9" w:rsidRDefault="009045C1" w:rsidP="0020278E">
                      <w:pPr>
                        <w:pStyle w:val="ContactInfo"/>
                        <w:rPr>
                          <w:lang w:val="de-DE"/>
                        </w:rPr>
                      </w:pPr>
                    </w:p>
                    <w:p w14:paraId="1E14BA7A" w14:textId="147A7C86" w:rsidR="008D510D" w:rsidRPr="00436CE9" w:rsidRDefault="00BA187B" w:rsidP="0020278E">
                      <w:pPr>
                        <w:pStyle w:val="Contacts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Lfd.Nr</w:t>
                      </w:r>
                      <w:proofErr w:type="spellEnd"/>
                      <w:r>
                        <w:rPr>
                          <w:lang w:val="de-DE"/>
                        </w:rPr>
                        <w:t>.:</w:t>
                      </w:r>
                      <w:r w:rsidR="00003ABD">
                        <w:rPr>
                          <w:lang w:val="de-DE"/>
                        </w:rPr>
                        <w:t xml:space="preserve"> </w:t>
                      </w:r>
                      <w:r w:rsidR="00663780" w:rsidRPr="00663780">
                        <w:rPr>
                          <w:lang w:val="de-DE"/>
                        </w:rPr>
                        <w:t>HI-{</w:t>
                      </w:r>
                      <w:proofErr w:type="spellStart"/>
                      <w:r w:rsidR="00663780" w:rsidRPr="00663780">
                        <w:rPr>
                          <w:lang w:val="de-DE"/>
                        </w:rPr>
                        <w:t>vereinskürzel</w:t>
                      </w:r>
                      <w:proofErr w:type="spellEnd"/>
                      <w:r w:rsidR="00663780" w:rsidRPr="00663780">
                        <w:rPr>
                          <w:lang w:val="de-DE"/>
                        </w:rPr>
                        <w:t>}-DS-D-6306-00</w:t>
                      </w:r>
                      <w:bookmarkStart w:id="1" w:name="_GoBack"/>
                      <w:bookmarkEnd w:id="1"/>
                    </w:p>
                    <w:p w14:paraId="1C429EE2" w14:textId="77777777" w:rsidR="008D510D" w:rsidRPr="00436CE9" w:rsidRDefault="008D510D" w:rsidP="00263C40">
                      <w:pPr>
                        <w:pStyle w:val="Contacts"/>
                        <w:rPr>
                          <w:lang w:val="de-DE"/>
                        </w:rPr>
                      </w:pPr>
                    </w:p>
                    <w:p w14:paraId="42D5FF4C" w14:textId="77777777" w:rsidR="008D510D" w:rsidRPr="00436CE9" w:rsidRDefault="008D510D" w:rsidP="00263C40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A5028E" w14:textId="77777777" w:rsidR="00023029" w:rsidRPr="00A25351" w:rsidRDefault="00023029" w:rsidP="004B3907">
      <w:pPr>
        <w:spacing w:before="0" w:after="0"/>
        <w:rPr>
          <w:lang w:val="de-DE"/>
        </w:rPr>
      </w:pPr>
    </w:p>
    <w:p w14:paraId="62D3C67F" w14:textId="77777777" w:rsidR="003A0435" w:rsidRDefault="003A0435" w:rsidP="003A0435">
      <w:pPr>
        <w:ind w:left="-5" w:right="-12"/>
        <w:rPr>
          <w:rFonts w:asciiTheme="minorHAnsi" w:hAnsiTheme="minorHAnsi" w:cstheme="minorHAnsi"/>
        </w:rPr>
      </w:pPr>
    </w:p>
    <w:p w14:paraId="725DE466" w14:textId="77777777" w:rsidR="00E47560" w:rsidRDefault="00E47560" w:rsidP="00E47560">
      <w:pPr>
        <w:pStyle w:val="KeinLeerraum"/>
      </w:pPr>
      <w:proofErr w:type="spellStart"/>
      <w:r>
        <w:t>Rechtsnormen</w:t>
      </w:r>
      <w:proofErr w:type="spellEnd"/>
      <w:r>
        <w:t xml:space="preserve"> der DSGVO</w:t>
      </w:r>
    </w:p>
    <w:p w14:paraId="17101B29" w14:textId="77777777" w:rsidR="00E47560" w:rsidRDefault="00E47560" w:rsidP="00E47560">
      <w:pPr>
        <w:pStyle w:val="KeinLeerraum"/>
      </w:pPr>
      <w:proofErr w:type="spellStart"/>
      <w:r>
        <w:t>Inhalte</w:t>
      </w:r>
      <w:proofErr w:type="spellEnd"/>
      <w:r>
        <w:t xml:space="preserve"> der EU-</w:t>
      </w:r>
      <w:proofErr w:type="spellStart"/>
      <w:r>
        <w:t>Datenschutz</w:t>
      </w:r>
      <w:proofErr w:type="spellEnd"/>
      <w:r>
        <w:t>-</w:t>
      </w:r>
      <w:proofErr w:type="spellStart"/>
      <w:r>
        <w:t>Grundverordnung</w:t>
      </w:r>
      <w:proofErr w:type="spellEnd"/>
      <w:r>
        <w:t xml:space="preserve"> (EU-DSGVO)</w:t>
      </w:r>
    </w:p>
    <w:p w14:paraId="5FEEC258" w14:textId="77777777" w:rsidR="00E47560" w:rsidRDefault="00E47560" w:rsidP="00E47560">
      <w:pPr>
        <w:pStyle w:val="KeinLeerraum"/>
      </w:pPr>
      <w:r>
        <w:t xml:space="preserve">Die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aufgelisteten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der EU-</w:t>
      </w:r>
      <w:proofErr w:type="spellStart"/>
      <w:r>
        <w:t>Verordnung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eigentlichen</w:t>
      </w:r>
      <w:proofErr w:type="spellEnd"/>
      <w:r>
        <w:t xml:space="preserve"> </w:t>
      </w:r>
      <w:proofErr w:type="spellStart"/>
      <w:r>
        <w:t>Rechtsnormen</w:t>
      </w:r>
      <w:proofErr w:type="spellEnd"/>
      <w:r>
        <w:t>.</w:t>
      </w:r>
    </w:p>
    <w:p w14:paraId="65A28AA0" w14:textId="77777777" w:rsidR="00E47560" w:rsidRDefault="00E47560" w:rsidP="00E47560">
      <w:pPr>
        <w:pStyle w:val="KeinLeerraum"/>
      </w:pPr>
      <w:r>
        <w:t xml:space="preserve">Die </w:t>
      </w:r>
      <w:proofErr w:type="spellStart"/>
      <w:r>
        <w:t>Erwägungsgründe</w:t>
      </w:r>
      <w:proofErr w:type="spellEnd"/>
      <w:r>
        <w:t xml:space="preserve"> der </w:t>
      </w:r>
      <w:proofErr w:type="spellStart"/>
      <w:r>
        <w:t>Verordnung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hilfreich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Interpretation der </w:t>
      </w:r>
      <w:proofErr w:type="spellStart"/>
      <w:r>
        <w:t>Rechtsnormen</w:t>
      </w:r>
      <w:proofErr w:type="spellEnd"/>
      <w:r>
        <w:t>.</w:t>
      </w:r>
    </w:p>
    <w:p w14:paraId="27AD021B" w14:textId="77777777" w:rsidR="00E47560" w:rsidRDefault="00E47560" w:rsidP="00E47560">
      <w:pPr>
        <w:pStyle w:val="KeinLeerraum"/>
      </w:pPr>
    </w:p>
    <w:p w14:paraId="33368174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I – Allgemeine </w:t>
      </w:r>
      <w:proofErr w:type="spellStart"/>
      <w:r>
        <w:t>Bestimmungen</w:t>
      </w:r>
      <w:proofErr w:type="spellEnd"/>
    </w:p>
    <w:p w14:paraId="4D110918" w14:textId="77777777" w:rsidR="00E47560" w:rsidRDefault="00E47560" w:rsidP="00E47560">
      <w:pPr>
        <w:pStyle w:val="KeinLeerraum"/>
      </w:pPr>
      <w:r>
        <w:t xml:space="preserve">Art.1 </w:t>
      </w:r>
      <w:proofErr w:type="spellStart"/>
      <w:r>
        <w:t>Gegenstand</w:t>
      </w:r>
      <w:proofErr w:type="spellEnd"/>
      <w:r>
        <w:t xml:space="preserve"> und </w:t>
      </w:r>
      <w:proofErr w:type="spellStart"/>
      <w:r>
        <w:t>Ziele</w:t>
      </w:r>
      <w:proofErr w:type="spellEnd"/>
    </w:p>
    <w:p w14:paraId="2196C246" w14:textId="77777777" w:rsidR="00E47560" w:rsidRDefault="00E47560" w:rsidP="00E47560">
      <w:pPr>
        <w:pStyle w:val="KeinLeerraum"/>
      </w:pPr>
      <w:r>
        <w:t xml:space="preserve">Art.2 </w:t>
      </w:r>
      <w:proofErr w:type="spellStart"/>
      <w:r>
        <w:t>Sachlicher</w:t>
      </w:r>
      <w:proofErr w:type="spellEnd"/>
      <w:r>
        <w:t xml:space="preserve"> </w:t>
      </w:r>
      <w:proofErr w:type="spellStart"/>
      <w:r>
        <w:t>Anwendungsbereich</w:t>
      </w:r>
      <w:proofErr w:type="spellEnd"/>
    </w:p>
    <w:p w14:paraId="2FA7C821" w14:textId="77777777" w:rsidR="00E47560" w:rsidRDefault="00E47560" w:rsidP="00E47560">
      <w:pPr>
        <w:pStyle w:val="KeinLeerraum"/>
      </w:pPr>
      <w:r>
        <w:t xml:space="preserve">Art.3 </w:t>
      </w:r>
      <w:proofErr w:type="spellStart"/>
      <w:r>
        <w:t>Räumlicher</w:t>
      </w:r>
      <w:proofErr w:type="spellEnd"/>
      <w:r>
        <w:t xml:space="preserve"> </w:t>
      </w:r>
      <w:proofErr w:type="spellStart"/>
      <w:r>
        <w:t>Anwendungsbereich</w:t>
      </w:r>
      <w:proofErr w:type="spellEnd"/>
    </w:p>
    <w:p w14:paraId="52B56584" w14:textId="77777777" w:rsidR="00E47560" w:rsidRDefault="00E47560" w:rsidP="00E47560">
      <w:pPr>
        <w:pStyle w:val="KeinLeerraum"/>
      </w:pPr>
      <w:r>
        <w:t xml:space="preserve">Art.4 </w:t>
      </w:r>
      <w:proofErr w:type="spellStart"/>
      <w:r>
        <w:t>Begriffsbestimmungen</w:t>
      </w:r>
      <w:proofErr w:type="spellEnd"/>
    </w:p>
    <w:p w14:paraId="14045664" w14:textId="77777777" w:rsidR="00E47560" w:rsidRDefault="00E47560" w:rsidP="00E47560">
      <w:pPr>
        <w:pStyle w:val="KeinLeerraum"/>
      </w:pPr>
    </w:p>
    <w:p w14:paraId="05730137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II – </w:t>
      </w:r>
      <w:proofErr w:type="spellStart"/>
      <w:r>
        <w:t>Grundsätze</w:t>
      </w:r>
      <w:proofErr w:type="spellEnd"/>
    </w:p>
    <w:p w14:paraId="28024804" w14:textId="77777777" w:rsidR="00E47560" w:rsidRDefault="00E47560" w:rsidP="00E47560">
      <w:pPr>
        <w:pStyle w:val="KeinLeerraum"/>
      </w:pPr>
      <w:r>
        <w:t xml:space="preserve">Art.5 </w:t>
      </w:r>
      <w:proofErr w:type="spellStart"/>
      <w:r>
        <w:t>Grundsätze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</w:p>
    <w:p w14:paraId="7A917B4B" w14:textId="77777777" w:rsidR="00E47560" w:rsidRDefault="00E47560" w:rsidP="00E47560">
      <w:pPr>
        <w:pStyle w:val="KeinLeerraum"/>
      </w:pPr>
      <w:r>
        <w:t xml:space="preserve">Art.6 </w:t>
      </w:r>
      <w:proofErr w:type="spellStart"/>
      <w:r>
        <w:t>Rechtmäßigkeit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 </w:t>
      </w:r>
    </w:p>
    <w:p w14:paraId="3A33F524" w14:textId="77777777" w:rsidR="00E47560" w:rsidRDefault="00E47560" w:rsidP="00E47560">
      <w:pPr>
        <w:pStyle w:val="KeinLeerraum"/>
      </w:pPr>
      <w:r>
        <w:t xml:space="preserve">Art.7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Einwilligung</w:t>
      </w:r>
      <w:proofErr w:type="spellEnd"/>
      <w:r>
        <w:t xml:space="preserve">  </w:t>
      </w:r>
    </w:p>
    <w:p w14:paraId="76503A85" w14:textId="77777777" w:rsidR="00E47560" w:rsidRDefault="00E47560" w:rsidP="00E47560">
      <w:pPr>
        <w:pStyle w:val="KeinLeerraum"/>
      </w:pPr>
      <w:r>
        <w:t xml:space="preserve">Art.8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Kindes</w:t>
      </w:r>
      <w:proofErr w:type="spellEnd"/>
      <w:r>
        <w:t xml:space="preserve"> in </w:t>
      </w:r>
      <w:proofErr w:type="spellStart"/>
      <w:r>
        <w:t>Bezug</w:t>
      </w:r>
      <w:proofErr w:type="spellEnd"/>
      <w:r>
        <w:t xml:space="preserve"> auf </w:t>
      </w:r>
      <w:proofErr w:type="spellStart"/>
      <w:r>
        <w:t>Dienste</w:t>
      </w:r>
      <w:proofErr w:type="spellEnd"/>
      <w:r>
        <w:t xml:space="preserve"> der </w:t>
      </w:r>
      <w:proofErr w:type="spellStart"/>
      <w:r>
        <w:t>Informationsgesellschaft</w:t>
      </w:r>
      <w:proofErr w:type="spellEnd"/>
      <w:r>
        <w:t xml:space="preserve">  </w:t>
      </w:r>
    </w:p>
    <w:p w14:paraId="7EE1F55A" w14:textId="77777777" w:rsidR="00E47560" w:rsidRDefault="00E47560" w:rsidP="00E47560">
      <w:pPr>
        <w:pStyle w:val="KeinLeerraum"/>
      </w:pPr>
      <w:r>
        <w:t xml:space="preserve">Art.9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besonderer</w:t>
      </w:r>
      <w:proofErr w:type="spellEnd"/>
      <w:r>
        <w:t xml:space="preserve"> </w:t>
      </w:r>
      <w:proofErr w:type="spellStart"/>
      <w:r>
        <w:t>Kategorien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 </w:t>
      </w:r>
    </w:p>
    <w:p w14:paraId="3D8E7368" w14:textId="77777777" w:rsidR="00E47560" w:rsidRDefault="00E47560" w:rsidP="00E47560">
      <w:pPr>
        <w:pStyle w:val="KeinLeerraum"/>
      </w:pPr>
      <w:r>
        <w:t xml:space="preserve">Art.10 </w:t>
      </w:r>
      <w:proofErr w:type="spellStart"/>
      <w:r>
        <w:t>Verarbeitung</w:t>
      </w:r>
      <w:proofErr w:type="spellEnd"/>
      <w:r>
        <w:t xml:space="preserve"> von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strafrechtliche</w:t>
      </w:r>
      <w:proofErr w:type="spellEnd"/>
      <w:r>
        <w:t xml:space="preserve"> </w:t>
      </w:r>
      <w:proofErr w:type="spellStart"/>
      <w:r>
        <w:t>Verurteilungen</w:t>
      </w:r>
      <w:proofErr w:type="spellEnd"/>
      <w:r>
        <w:t xml:space="preserve"> und </w:t>
      </w:r>
      <w:proofErr w:type="spellStart"/>
      <w:r>
        <w:t>Straftaten</w:t>
      </w:r>
      <w:proofErr w:type="spellEnd"/>
    </w:p>
    <w:p w14:paraId="1CEE4469" w14:textId="77777777" w:rsidR="00E47560" w:rsidRDefault="00E47560" w:rsidP="00E47560">
      <w:pPr>
        <w:pStyle w:val="KeinLeerraum"/>
      </w:pPr>
      <w:r>
        <w:t xml:space="preserve">Art 11 </w:t>
      </w:r>
      <w:proofErr w:type="spellStart"/>
      <w:r>
        <w:t>Verarbeitung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Identifizierung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Person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</w:p>
    <w:p w14:paraId="7BC32BA2" w14:textId="77777777" w:rsidR="00E47560" w:rsidRDefault="00E47560" w:rsidP="00E47560">
      <w:pPr>
        <w:pStyle w:val="KeinLeerraum"/>
      </w:pPr>
    </w:p>
    <w:p w14:paraId="096DEE99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III – </w:t>
      </w:r>
      <w:proofErr w:type="spellStart"/>
      <w:r>
        <w:t>Rechte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Person</w:t>
      </w:r>
    </w:p>
    <w:p w14:paraId="59672A17" w14:textId="77777777" w:rsidR="00E47560" w:rsidRDefault="00E47560" w:rsidP="00E47560">
      <w:pPr>
        <w:pStyle w:val="KeinLeerraum"/>
      </w:pPr>
      <w:r>
        <w:t xml:space="preserve">Art.12 </w:t>
      </w:r>
      <w:proofErr w:type="spellStart"/>
      <w:r>
        <w:t>Transparente</w:t>
      </w:r>
      <w:proofErr w:type="spellEnd"/>
      <w:r>
        <w:t xml:space="preserve"> Information, </w:t>
      </w:r>
      <w:proofErr w:type="spellStart"/>
      <w:r>
        <w:t>Kommunikation</w:t>
      </w:r>
      <w:proofErr w:type="spellEnd"/>
      <w:r>
        <w:t xml:space="preserve"> und </w:t>
      </w:r>
      <w:proofErr w:type="spellStart"/>
      <w:r>
        <w:t>Modalitäten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Ausübung</w:t>
      </w:r>
      <w:proofErr w:type="spellEnd"/>
      <w:r>
        <w:t xml:space="preserve"> der </w:t>
      </w:r>
      <w:proofErr w:type="spellStart"/>
      <w:r>
        <w:t>Rechte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Person</w:t>
      </w:r>
    </w:p>
    <w:p w14:paraId="65C68B45" w14:textId="77777777" w:rsidR="00E47560" w:rsidRDefault="00E47560" w:rsidP="00E47560">
      <w:pPr>
        <w:pStyle w:val="KeinLeerraum"/>
      </w:pPr>
      <w:r>
        <w:t xml:space="preserve">Art.13 </w:t>
      </w:r>
      <w:proofErr w:type="spellStart"/>
      <w:r>
        <w:t>Informationspflicht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Erhebung</w:t>
      </w:r>
      <w:proofErr w:type="spellEnd"/>
      <w:r>
        <w:t xml:space="preserve"> von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Person</w:t>
      </w:r>
    </w:p>
    <w:p w14:paraId="0CD9CAE2" w14:textId="77777777" w:rsidR="00E47560" w:rsidRDefault="00E47560" w:rsidP="00E47560">
      <w:pPr>
        <w:pStyle w:val="KeinLeerraum"/>
      </w:pPr>
      <w:r>
        <w:t xml:space="preserve">Art.14 </w:t>
      </w:r>
      <w:proofErr w:type="spellStart"/>
      <w:r>
        <w:t>Informationspflicht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Person </w:t>
      </w:r>
      <w:proofErr w:type="spellStart"/>
      <w:r>
        <w:t>erhoben</w:t>
      </w:r>
      <w:proofErr w:type="spellEnd"/>
      <w:r>
        <w:t xml:space="preserve"> </w:t>
      </w:r>
      <w:proofErr w:type="spellStart"/>
      <w:r>
        <w:t>wurden</w:t>
      </w:r>
      <w:proofErr w:type="spellEnd"/>
    </w:p>
    <w:p w14:paraId="1A48FA66" w14:textId="77777777" w:rsidR="00E47560" w:rsidRDefault="00E47560" w:rsidP="00E47560">
      <w:pPr>
        <w:pStyle w:val="KeinLeerraum"/>
      </w:pPr>
      <w:r>
        <w:t xml:space="preserve">Art.15 </w:t>
      </w:r>
      <w:proofErr w:type="spellStart"/>
      <w:r>
        <w:t>Auskunftsrecht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Person</w:t>
      </w:r>
    </w:p>
    <w:p w14:paraId="7CBADAAA" w14:textId="77777777" w:rsidR="00E47560" w:rsidRDefault="00E47560" w:rsidP="00E47560">
      <w:pPr>
        <w:pStyle w:val="KeinLeerraum"/>
      </w:pPr>
      <w:r>
        <w:t xml:space="preserve">Art.16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Berichtigung</w:t>
      </w:r>
      <w:proofErr w:type="spellEnd"/>
    </w:p>
    <w:p w14:paraId="2763B421" w14:textId="77777777" w:rsidR="00E47560" w:rsidRDefault="00E47560" w:rsidP="00E47560">
      <w:pPr>
        <w:pStyle w:val="KeinLeerraum"/>
      </w:pPr>
      <w:r>
        <w:t xml:space="preserve">Art.17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Löschung</w:t>
      </w:r>
      <w:proofErr w:type="spellEnd"/>
      <w:r>
        <w:t xml:space="preserve"> (“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Vergessenwerden</w:t>
      </w:r>
      <w:proofErr w:type="spellEnd"/>
      <w:r>
        <w:t>”)</w:t>
      </w:r>
    </w:p>
    <w:p w14:paraId="37021FF2" w14:textId="77777777" w:rsidR="00E47560" w:rsidRDefault="00E47560" w:rsidP="00E47560">
      <w:pPr>
        <w:pStyle w:val="KeinLeerraum"/>
      </w:pPr>
      <w:r>
        <w:t xml:space="preserve">Art.18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Einschränkung</w:t>
      </w:r>
      <w:proofErr w:type="spellEnd"/>
      <w:r>
        <w:t xml:space="preserve"> der </w:t>
      </w:r>
      <w:proofErr w:type="spellStart"/>
      <w:r>
        <w:t>Verarbeitung</w:t>
      </w:r>
      <w:proofErr w:type="spellEnd"/>
    </w:p>
    <w:p w14:paraId="6790451A" w14:textId="77777777" w:rsidR="00E47560" w:rsidRDefault="00E47560" w:rsidP="00E47560">
      <w:pPr>
        <w:pStyle w:val="KeinLeerraum"/>
      </w:pPr>
      <w:r>
        <w:t xml:space="preserve">Art.19 </w:t>
      </w:r>
      <w:proofErr w:type="spellStart"/>
      <w:r>
        <w:t>Mitteilungspflicht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Berichtigung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Löschung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Einschränkung</w:t>
      </w:r>
      <w:proofErr w:type="spellEnd"/>
      <w:r>
        <w:t xml:space="preserve"> der </w:t>
      </w:r>
      <w:proofErr w:type="spellStart"/>
      <w:r>
        <w:t>Verarbeitung</w:t>
      </w:r>
      <w:proofErr w:type="spellEnd"/>
    </w:p>
    <w:p w14:paraId="24B7ED82" w14:textId="77777777" w:rsidR="00E47560" w:rsidRDefault="00E47560" w:rsidP="00E47560">
      <w:pPr>
        <w:pStyle w:val="KeinLeerraum"/>
      </w:pPr>
      <w:r>
        <w:t xml:space="preserve">Art.20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Datenübertragbarkeit</w:t>
      </w:r>
      <w:proofErr w:type="spellEnd"/>
    </w:p>
    <w:p w14:paraId="3F1F5FC1" w14:textId="77777777" w:rsidR="00E47560" w:rsidRDefault="00E47560" w:rsidP="00E47560">
      <w:pPr>
        <w:pStyle w:val="KeinLeerraum"/>
      </w:pPr>
      <w:r>
        <w:t xml:space="preserve">Art.21 </w:t>
      </w:r>
      <w:proofErr w:type="spellStart"/>
      <w:r>
        <w:t>Widerspruchsrecht</w:t>
      </w:r>
      <w:proofErr w:type="spellEnd"/>
    </w:p>
    <w:p w14:paraId="31A94C8D" w14:textId="77777777" w:rsidR="00E47560" w:rsidRDefault="00E47560" w:rsidP="00E47560">
      <w:pPr>
        <w:pStyle w:val="KeinLeerraum"/>
      </w:pPr>
      <w:r>
        <w:t xml:space="preserve">Art.22 </w:t>
      </w:r>
      <w:proofErr w:type="spellStart"/>
      <w:r>
        <w:t>Automatisierte</w:t>
      </w:r>
      <w:proofErr w:type="spellEnd"/>
      <w:r>
        <w:t xml:space="preserve"> </w:t>
      </w:r>
      <w:proofErr w:type="spellStart"/>
      <w:r>
        <w:t>Entscheidungen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Einzelfall</w:t>
      </w:r>
      <w:proofErr w:type="spellEnd"/>
      <w:r>
        <w:t xml:space="preserve"> </w:t>
      </w:r>
      <w:proofErr w:type="spellStart"/>
      <w:r>
        <w:t>einschließlich</w:t>
      </w:r>
      <w:proofErr w:type="spellEnd"/>
      <w:r>
        <w:t xml:space="preserve"> Profiling</w:t>
      </w:r>
    </w:p>
    <w:p w14:paraId="46EA841B" w14:textId="77777777" w:rsidR="00E47560" w:rsidRDefault="00E47560" w:rsidP="00E47560">
      <w:pPr>
        <w:pStyle w:val="KeinLeerraum"/>
      </w:pPr>
      <w:r>
        <w:t xml:space="preserve">Art.23 </w:t>
      </w:r>
      <w:proofErr w:type="spellStart"/>
      <w:r>
        <w:t>Beschränkungen</w:t>
      </w:r>
      <w:proofErr w:type="spellEnd"/>
    </w:p>
    <w:p w14:paraId="2DDAD335" w14:textId="77777777" w:rsidR="00E47560" w:rsidRDefault="00E47560" w:rsidP="00E47560">
      <w:pPr>
        <w:pStyle w:val="KeinLeerraum"/>
      </w:pPr>
    </w:p>
    <w:p w14:paraId="3EE55219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IV –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Verantwortliche</w:t>
      </w:r>
      <w:proofErr w:type="spellEnd"/>
      <w:r>
        <w:t xml:space="preserve"> und </w:t>
      </w:r>
      <w:proofErr w:type="spellStart"/>
      <w:r>
        <w:t>Auftragsverarbeiter</w:t>
      </w:r>
      <w:proofErr w:type="spellEnd"/>
    </w:p>
    <w:p w14:paraId="7E8B6B9C" w14:textId="77777777" w:rsidR="00E47560" w:rsidRDefault="00E47560" w:rsidP="00E47560">
      <w:pPr>
        <w:pStyle w:val="KeinLeerraum"/>
      </w:pPr>
      <w:r>
        <w:t xml:space="preserve">Art.24 </w:t>
      </w:r>
      <w:proofErr w:type="spellStart"/>
      <w:r>
        <w:t>Verantwortung</w:t>
      </w:r>
      <w:proofErr w:type="spellEnd"/>
      <w:r>
        <w:t xml:space="preserve"> des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Verantwortlichen</w:t>
      </w:r>
      <w:proofErr w:type="spellEnd"/>
    </w:p>
    <w:p w14:paraId="45AC3A68" w14:textId="77777777" w:rsidR="00E47560" w:rsidRDefault="00E47560" w:rsidP="00E47560">
      <w:pPr>
        <w:pStyle w:val="KeinLeerraum"/>
      </w:pPr>
      <w:r>
        <w:t xml:space="preserve">Art.25 </w:t>
      </w:r>
      <w:proofErr w:type="spellStart"/>
      <w:r>
        <w:t>Datenschutz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Technikgestaltung</w:t>
      </w:r>
      <w:proofErr w:type="spellEnd"/>
      <w:r>
        <w:t xml:space="preserve"> und </w:t>
      </w:r>
      <w:proofErr w:type="spellStart"/>
      <w:r>
        <w:t>datenschutzfreundliche</w:t>
      </w:r>
      <w:proofErr w:type="spellEnd"/>
      <w:r>
        <w:t xml:space="preserve"> </w:t>
      </w:r>
      <w:proofErr w:type="spellStart"/>
      <w:r>
        <w:t>Voreinstellungen</w:t>
      </w:r>
      <w:proofErr w:type="spellEnd"/>
    </w:p>
    <w:p w14:paraId="7B496FA2" w14:textId="77777777" w:rsidR="00E47560" w:rsidRDefault="00E47560" w:rsidP="00E47560">
      <w:pPr>
        <w:pStyle w:val="KeinLeerraum"/>
      </w:pPr>
      <w:r>
        <w:t xml:space="preserve">Art.26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Verantwortliche</w:t>
      </w:r>
      <w:proofErr w:type="spellEnd"/>
    </w:p>
    <w:p w14:paraId="4B4CA179" w14:textId="77777777" w:rsidR="00E47560" w:rsidRDefault="00E47560" w:rsidP="00E47560">
      <w:pPr>
        <w:pStyle w:val="KeinLeerraum"/>
      </w:pPr>
      <w:r>
        <w:t xml:space="preserve">Art.27 </w:t>
      </w:r>
      <w:proofErr w:type="spellStart"/>
      <w:r>
        <w:t>Vertreter</w:t>
      </w:r>
      <w:proofErr w:type="spellEnd"/>
      <w:r>
        <w:t xml:space="preserve"> von </w:t>
      </w:r>
      <w:proofErr w:type="spellStart"/>
      <w:r>
        <w:t>nicht</w:t>
      </w:r>
      <w:proofErr w:type="spellEnd"/>
      <w:r>
        <w:t xml:space="preserve"> in der Union </w:t>
      </w:r>
      <w:proofErr w:type="spellStart"/>
      <w:r>
        <w:t>niedergelassenen</w:t>
      </w:r>
      <w:proofErr w:type="spellEnd"/>
      <w:r>
        <w:t xml:space="preserve"> </w:t>
      </w:r>
      <w:proofErr w:type="spellStart"/>
      <w:r>
        <w:t>Verantwortlichen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Auftragsverarbeitern</w:t>
      </w:r>
      <w:proofErr w:type="spellEnd"/>
    </w:p>
    <w:p w14:paraId="55DB701A" w14:textId="77777777" w:rsidR="00E47560" w:rsidRDefault="00E47560" w:rsidP="00E47560">
      <w:pPr>
        <w:pStyle w:val="KeinLeerraum"/>
      </w:pPr>
      <w:r>
        <w:t xml:space="preserve">Art.28 </w:t>
      </w:r>
      <w:proofErr w:type="spellStart"/>
      <w:r>
        <w:t>Auftragsverarbeiter</w:t>
      </w:r>
      <w:proofErr w:type="spellEnd"/>
      <w:r>
        <w:t xml:space="preserve"> </w:t>
      </w:r>
    </w:p>
    <w:p w14:paraId="5E688AC8" w14:textId="77777777" w:rsidR="00E47560" w:rsidRDefault="00E47560" w:rsidP="00E47560">
      <w:pPr>
        <w:pStyle w:val="KeinLeerraum"/>
      </w:pPr>
      <w:r>
        <w:t xml:space="preserve">Art.29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Aufsicht</w:t>
      </w:r>
      <w:proofErr w:type="spellEnd"/>
      <w:r>
        <w:t xml:space="preserve"> des </w:t>
      </w:r>
      <w:proofErr w:type="spellStart"/>
      <w:r>
        <w:t>Verantwortlichen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des </w:t>
      </w:r>
      <w:proofErr w:type="spellStart"/>
      <w:r>
        <w:t>Auftragsverarbeiters</w:t>
      </w:r>
      <w:proofErr w:type="spellEnd"/>
    </w:p>
    <w:p w14:paraId="6BA105BA" w14:textId="77777777" w:rsidR="00E47560" w:rsidRDefault="00E47560" w:rsidP="00E47560">
      <w:pPr>
        <w:pStyle w:val="KeinLeerraum"/>
      </w:pPr>
      <w:r>
        <w:t xml:space="preserve">Art.30 </w:t>
      </w:r>
      <w:proofErr w:type="spellStart"/>
      <w:r>
        <w:t>Verzeichnis</w:t>
      </w:r>
      <w:proofErr w:type="spellEnd"/>
      <w:r>
        <w:t xml:space="preserve"> von </w:t>
      </w:r>
      <w:proofErr w:type="spellStart"/>
      <w:r>
        <w:t>Verarbeitungstätigkeiten</w:t>
      </w:r>
      <w:proofErr w:type="spellEnd"/>
    </w:p>
    <w:p w14:paraId="1B65A011" w14:textId="77777777" w:rsidR="00E47560" w:rsidRDefault="00E47560" w:rsidP="00E47560">
      <w:pPr>
        <w:pStyle w:val="KeinLeerraum"/>
      </w:pPr>
      <w:r>
        <w:t xml:space="preserve">Art.31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Aufsichtsbehörde</w:t>
      </w:r>
      <w:proofErr w:type="spellEnd"/>
    </w:p>
    <w:p w14:paraId="24BA6A71" w14:textId="77777777" w:rsidR="00E47560" w:rsidRDefault="00E47560" w:rsidP="00E47560">
      <w:pPr>
        <w:pStyle w:val="KeinLeerraum"/>
      </w:pPr>
      <w:r>
        <w:t xml:space="preserve">Art.32 </w:t>
      </w:r>
      <w:proofErr w:type="spellStart"/>
      <w:r>
        <w:t>Sicherheit</w:t>
      </w:r>
      <w:proofErr w:type="spellEnd"/>
      <w:r>
        <w:t xml:space="preserve"> der </w:t>
      </w:r>
      <w:proofErr w:type="spellStart"/>
      <w:r>
        <w:t>Verarbeitung</w:t>
      </w:r>
      <w:proofErr w:type="spellEnd"/>
    </w:p>
    <w:p w14:paraId="1E9248B8" w14:textId="77777777" w:rsidR="00E47560" w:rsidRDefault="00E47560" w:rsidP="00E47560">
      <w:pPr>
        <w:pStyle w:val="KeinLeerraum"/>
      </w:pPr>
      <w:r>
        <w:t xml:space="preserve">Art.33 </w:t>
      </w:r>
      <w:proofErr w:type="spellStart"/>
      <w:r>
        <w:t>Meldung</w:t>
      </w:r>
      <w:proofErr w:type="spellEnd"/>
      <w:r>
        <w:t xml:space="preserve"> von </w:t>
      </w:r>
      <w:proofErr w:type="spellStart"/>
      <w:r>
        <w:t>Verletzungen</w:t>
      </w:r>
      <w:proofErr w:type="spellEnd"/>
      <w:r>
        <w:t xml:space="preserve"> des </w:t>
      </w:r>
      <w:proofErr w:type="spellStart"/>
      <w:r>
        <w:t>Schutzes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an die </w:t>
      </w:r>
      <w:proofErr w:type="spellStart"/>
      <w:r>
        <w:t>Aufsichtsbehörde</w:t>
      </w:r>
      <w:proofErr w:type="spellEnd"/>
    </w:p>
    <w:p w14:paraId="6CFC823F" w14:textId="77777777" w:rsidR="00E47560" w:rsidRDefault="00E47560" w:rsidP="00E47560">
      <w:pPr>
        <w:pStyle w:val="KeinLeerraum"/>
      </w:pPr>
      <w:r>
        <w:t xml:space="preserve">Art.34 </w:t>
      </w:r>
      <w:proofErr w:type="spellStart"/>
      <w:r>
        <w:t>Benachrichtigung</w:t>
      </w:r>
      <w:proofErr w:type="spellEnd"/>
      <w:r>
        <w:t xml:space="preserve"> der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Verletzung</w:t>
      </w:r>
      <w:proofErr w:type="spellEnd"/>
      <w:r>
        <w:t xml:space="preserve"> des </w:t>
      </w:r>
      <w:proofErr w:type="spellStart"/>
      <w:r>
        <w:t>Schutzes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Personen</w:t>
      </w:r>
      <w:proofErr w:type="spellEnd"/>
    </w:p>
    <w:p w14:paraId="2E1DAF10" w14:textId="77777777" w:rsidR="00E47560" w:rsidRDefault="00E47560" w:rsidP="00E47560">
      <w:pPr>
        <w:pStyle w:val="KeinLeerraum"/>
      </w:pPr>
      <w:r>
        <w:t xml:space="preserve">Art.35 </w:t>
      </w:r>
      <w:proofErr w:type="spellStart"/>
      <w:r>
        <w:t>Datenschutz-Folgenabschätzung</w:t>
      </w:r>
      <w:proofErr w:type="spellEnd"/>
    </w:p>
    <w:p w14:paraId="43D1BC2C" w14:textId="77777777" w:rsidR="00E47560" w:rsidRDefault="00E47560" w:rsidP="00E47560">
      <w:pPr>
        <w:pStyle w:val="KeinLeerraum"/>
      </w:pPr>
      <w:r>
        <w:t xml:space="preserve">Art.36 </w:t>
      </w:r>
      <w:proofErr w:type="spellStart"/>
      <w:r>
        <w:t>Vorherige</w:t>
      </w:r>
      <w:proofErr w:type="spellEnd"/>
      <w:r>
        <w:t xml:space="preserve"> </w:t>
      </w:r>
      <w:proofErr w:type="spellStart"/>
      <w:r>
        <w:t>Konsultation</w:t>
      </w:r>
      <w:proofErr w:type="spellEnd"/>
    </w:p>
    <w:p w14:paraId="602CC923" w14:textId="77777777" w:rsidR="00E47560" w:rsidRDefault="00E47560" w:rsidP="00E47560">
      <w:pPr>
        <w:pStyle w:val="KeinLeerraum"/>
      </w:pPr>
      <w:r>
        <w:t xml:space="preserve">Art.37 </w:t>
      </w:r>
      <w:proofErr w:type="spellStart"/>
      <w:r>
        <w:t>Benennung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Datenschutzbeauftragten</w:t>
      </w:r>
      <w:proofErr w:type="spellEnd"/>
    </w:p>
    <w:p w14:paraId="312D25CC" w14:textId="77777777" w:rsidR="00E47560" w:rsidRDefault="00E47560" w:rsidP="00E47560">
      <w:pPr>
        <w:pStyle w:val="KeinLeerraum"/>
      </w:pPr>
      <w:r>
        <w:t xml:space="preserve">Art.38 </w:t>
      </w:r>
      <w:proofErr w:type="spellStart"/>
      <w:r>
        <w:t>Stellung</w:t>
      </w:r>
      <w:proofErr w:type="spellEnd"/>
      <w:r>
        <w:t xml:space="preserve"> des </w:t>
      </w:r>
      <w:proofErr w:type="spellStart"/>
      <w:r>
        <w:t>Datenschutzbeauftragten</w:t>
      </w:r>
      <w:proofErr w:type="spellEnd"/>
    </w:p>
    <w:p w14:paraId="2C0FD409" w14:textId="77777777" w:rsidR="00E47560" w:rsidRDefault="00E47560" w:rsidP="00E47560">
      <w:pPr>
        <w:pStyle w:val="KeinLeerraum"/>
      </w:pPr>
      <w:r>
        <w:t xml:space="preserve">Art.39 </w:t>
      </w:r>
      <w:proofErr w:type="spellStart"/>
      <w:r>
        <w:t>Aufgaben</w:t>
      </w:r>
      <w:proofErr w:type="spellEnd"/>
      <w:r>
        <w:t xml:space="preserve"> des </w:t>
      </w:r>
      <w:proofErr w:type="spellStart"/>
      <w:r>
        <w:t>Datenschutzbeauftragten</w:t>
      </w:r>
      <w:proofErr w:type="spellEnd"/>
    </w:p>
    <w:p w14:paraId="76461756" w14:textId="77777777" w:rsidR="00E47560" w:rsidRDefault="00E47560" w:rsidP="00E47560">
      <w:pPr>
        <w:pStyle w:val="KeinLeerraum"/>
      </w:pPr>
      <w:r>
        <w:lastRenderedPageBreak/>
        <w:t xml:space="preserve">Art.40 </w:t>
      </w:r>
      <w:proofErr w:type="spellStart"/>
      <w:r>
        <w:t>Verhaltensregeln</w:t>
      </w:r>
      <w:proofErr w:type="spellEnd"/>
    </w:p>
    <w:p w14:paraId="79FA35AD" w14:textId="77777777" w:rsidR="00E47560" w:rsidRDefault="00E47560" w:rsidP="00E47560">
      <w:pPr>
        <w:pStyle w:val="KeinLeerraum"/>
      </w:pPr>
      <w:r>
        <w:t xml:space="preserve">Art.41 </w:t>
      </w:r>
      <w:proofErr w:type="spellStart"/>
      <w:r>
        <w:t>Überwachung</w:t>
      </w:r>
      <w:proofErr w:type="spellEnd"/>
      <w:r>
        <w:t xml:space="preserve"> der </w:t>
      </w:r>
      <w:proofErr w:type="spellStart"/>
      <w:r>
        <w:t>genehmigten</w:t>
      </w:r>
      <w:proofErr w:type="spellEnd"/>
      <w:r>
        <w:t xml:space="preserve"> </w:t>
      </w:r>
      <w:proofErr w:type="spellStart"/>
      <w:r>
        <w:t>Verhaltensregeln</w:t>
      </w:r>
      <w:proofErr w:type="spellEnd"/>
      <w:r>
        <w:t xml:space="preserve"> </w:t>
      </w:r>
    </w:p>
    <w:p w14:paraId="0EEA1C5F" w14:textId="77777777" w:rsidR="00E47560" w:rsidRDefault="00E47560" w:rsidP="00E47560">
      <w:pPr>
        <w:pStyle w:val="KeinLeerraum"/>
      </w:pPr>
      <w:r>
        <w:t xml:space="preserve">Art.42 </w:t>
      </w:r>
      <w:proofErr w:type="spellStart"/>
      <w:r>
        <w:t>Zertifizierung</w:t>
      </w:r>
      <w:proofErr w:type="spellEnd"/>
    </w:p>
    <w:p w14:paraId="464F18FE" w14:textId="77777777" w:rsidR="00E47560" w:rsidRDefault="00E47560" w:rsidP="00E47560">
      <w:pPr>
        <w:pStyle w:val="KeinLeerraum"/>
      </w:pPr>
      <w:r>
        <w:t xml:space="preserve">Art.43 </w:t>
      </w:r>
      <w:proofErr w:type="spellStart"/>
      <w:r>
        <w:t>Zertifizierungsstellen</w:t>
      </w:r>
      <w:proofErr w:type="spellEnd"/>
    </w:p>
    <w:p w14:paraId="637E8FC1" w14:textId="77777777" w:rsidR="00E47560" w:rsidRDefault="00E47560" w:rsidP="00E47560">
      <w:pPr>
        <w:pStyle w:val="KeinLeerraum"/>
      </w:pPr>
    </w:p>
    <w:p w14:paraId="095DC3E5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V – </w:t>
      </w:r>
      <w:proofErr w:type="spellStart"/>
      <w:r>
        <w:t>Übermittlung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an </w:t>
      </w:r>
      <w:proofErr w:type="spellStart"/>
      <w:r>
        <w:t>Drittländer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an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Organisationen</w:t>
      </w:r>
      <w:proofErr w:type="spellEnd"/>
    </w:p>
    <w:p w14:paraId="6D30E76E" w14:textId="77777777" w:rsidR="00E47560" w:rsidRDefault="00E47560" w:rsidP="00E47560">
      <w:pPr>
        <w:pStyle w:val="KeinLeerraum"/>
      </w:pPr>
      <w:r>
        <w:t xml:space="preserve">Art.44 Allgemeine </w:t>
      </w:r>
      <w:proofErr w:type="spellStart"/>
      <w:r>
        <w:t>Grundsätze</w:t>
      </w:r>
      <w:proofErr w:type="spellEnd"/>
      <w:r>
        <w:t xml:space="preserve"> der </w:t>
      </w:r>
      <w:proofErr w:type="spellStart"/>
      <w:r>
        <w:t>Datenübermittlung</w:t>
      </w:r>
      <w:proofErr w:type="spellEnd"/>
    </w:p>
    <w:p w14:paraId="082B4C7E" w14:textId="77777777" w:rsidR="00E47560" w:rsidRDefault="00E47560" w:rsidP="00E47560">
      <w:pPr>
        <w:pStyle w:val="KeinLeerraum"/>
      </w:pPr>
      <w:r>
        <w:t xml:space="preserve">Art.45 </w:t>
      </w:r>
      <w:proofErr w:type="spellStart"/>
      <w:r>
        <w:t>Datenübermittlung</w:t>
      </w:r>
      <w:proofErr w:type="spellEnd"/>
      <w:r>
        <w:t xml:space="preserve"> auf der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Angemessenheitsbeschlusses</w:t>
      </w:r>
      <w:proofErr w:type="spellEnd"/>
    </w:p>
    <w:p w14:paraId="0022360C" w14:textId="77777777" w:rsidR="00E47560" w:rsidRDefault="00E47560" w:rsidP="00E47560">
      <w:pPr>
        <w:pStyle w:val="KeinLeerraum"/>
      </w:pPr>
      <w:r>
        <w:t xml:space="preserve">Art.46 </w:t>
      </w:r>
      <w:proofErr w:type="spellStart"/>
      <w:r>
        <w:t>Datenübermittlung</w:t>
      </w:r>
      <w:proofErr w:type="spellEnd"/>
      <w:r>
        <w:t xml:space="preserve"> </w:t>
      </w:r>
      <w:proofErr w:type="spellStart"/>
      <w:r>
        <w:t>vorbehaltlich</w:t>
      </w:r>
      <w:proofErr w:type="spellEnd"/>
      <w:r>
        <w:t xml:space="preserve"> </w:t>
      </w:r>
      <w:proofErr w:type="spellStart"/>
      <w:r>
        <w:t>geeigneter</w:t>
      </w:r>
      <w:proofErr w:type="spellEnd"/>
      <w:r>
        <w:t xml:space="preserve"> </w:t>
      </w:r>
      <w:proofErr w:type="spellStart"/>
      <w:r>
        <w:t>Garantien</w:t>
      </w:r>
      <w:proofErr w:type="spellEnd"/>
    </w:p>
    <w:p w14:paraId="3B802DA5" w14:textId="77777777" w:rsidR="00E47560" w:rsidRDefault="00E47560" w:rsidP="00E47560">
      <w:pPr>
        <w:pStyle w:val="KeinLeerraum"/>
      </w:pPr>
      <w:r>
        <w:t xml:space="preserve">Art.47 </w:t>
      </w:r>
      <w:proofErr w:type="spellStart"/>
      <w:r>
        <w:t>Verbindliche</w:t>
      </w:r>
      <w:proofErr w:type="spellEnd"/>
      <w:r>
        <w:t xml:space="preserve"> interne </w:t>
      </w:r>
      <w:proofErr w:type="spellStart"/>
      <w:r>
        <w:t>Datenschutzvorschriften</w:t>
      </w:r>
      <w:proofErr w:type="spellEnd"/>
    </w:p>
    <w:p w14:paraId="3F63F121" w14:textId="77777777" w:rsidR="00E47560" w:rsidRDefault="00E47560" w:rsidP="00E47560">
      <w:pPr>
        <w:pStyle w:val="KeinLeerraum"/>
      </w:pPr>
      <w:r>
        <w:t xml:space="preserve">Art.48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Unionsrecht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zulässige</w:t>
      </w:r>
      <w:proofErr w:type="spellEnd"/>
      <w:r>
        <w:t xml:space="preserve"> </w:t>
      </w:r>
      <w:proofErr w:type="spellStart"/>
      <w:r>
        <w:t>Übermittlung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Offenlegung</w:t>
      </w:r>
      <w:proofErr w:type="spellEnd"/>
    </w:p>
    <w:p w14:paraId="78264D36" w14:textId="77777777" w:rsidR="00E47560" w:rsidRDefault="00E47560" w:rsidP="00E47560">
      <w:pPr>
        <w:pStyle w:val="KeinLeerraum"/>
      </w:pPr>
      <w:r>
        <w:t xml:space="preserve">Art.49 </w:t>
      </w:r>
      <w:proofErr w:type="spellStart"/>
      <w:r>
        <w:t>Ausnahmen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bestimmte</w:t>
      </w:r>
      <w:proofErr w:type="spellEnd"/>
      <w:r>
        <w:t xml:space="preserve"> </w:t>
      </w:r>
      <w:proofErr w:type="spellStart"/>
      <w:r>
        <w:t>Fälle</w:t>
      </w:r>
      <w:proofErr w:type="spellEnd"/>
    </w:p>
    <w:p w14:paraId="706D02BB" w14:textId="77777777" w:rsidR="00E47560" w:rsidRDefault="00E47560" w:rsidP="00E47560">
      <w:pPr>
        <w:pStyle w:val="KeinLeerraum"/>
      </w:pPr>
      <w:r>
        <w:t xml:space="preserve">Art.50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Schutz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</w:p>
    <w:p w14:paraId="210EB25A" w14:textId="77777777" w:rsidR="00E47560" w:rsidRDefault="00E47560" w:rsidP="00E47560">
      <w:pPr>
        <w:pStyle w:val="KeinLeerraum"/>
      </w:pPr>
    </w:p>
    <w:p w14:paraId="4BDCE842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VI – </w:t>
      </w:r>
      <w:proofErr w:type="spellStart"/>
      <w:r>
        <w:t>Unabhängigkeit</w:t>
      </w:r>
      <w:proofErr w:type="spellEnd"/>
      <w:r>
        <w:t xml:space="preserve"> der </w:t>
      </w:r>
      <w:proofErr w:type="spellStart"/>
      <w:r>
        <w:t>Aufsichtsbehörden</w:t>
      </w:r>
      <w:proofErr w:type="spellEnd"/>
    </w:p>
    <w:p w14:paraId="74C70357" w14:textId="77777777" w:rsidR="00E47560" w:rsidRDefault="00E47560" w:rsidP="00E47560">
      <w:pPr>
        <w:pStyle w:val="KeinLeerraum"/>
      </w:pPr>
      <w:r>
        <w:t xml:space="preserve">Art.51 </w:t>
      </w:r>
      <w:proofErr w:type="spellStart"/>
      <w:r>
        <w:t>Aufsichtsbehörde</w:t>
      </w:r>
      <w:proofErr w:type="spellEnd"/>
    </w:p>
    <w:p w14:paraId="11D818DE" w14:textId="77777777" w:rsidR="00E47560" w:rsidRDefault="00E47560" w:rsidP="00E47560">
      <w:pPr>
        <w:pStyle w:val="KeinLeerraum"/>
      </w:pPr>
      <w:r>
        <w:t xml:space="preserve">Art.52 </w:t>
      </w:r>
      <w:proofErr w:type="spellStart"/>
      <w:r>
        <w:t>Unabhängigkeit</w:t>
      </w:r>
      <w:proofErr w:type="spellEnd"/>
    </w:p>
    <w:p w14:paraId="2A3EC4A8" w14:textId="77777777" w:rsidR="00E47560" w:rsidRDefault="00E47560" w:rsidP="00E47560">
      <w:pPr>
        <w:pStyle w:val="KeinLeerraum"/>
      </w:pPr>
      <w:r>
        <w:t xml:space="preserve">Art.53 Allgemeine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Mitglieder</w:t>
      </w:r>
      <w:proofErr w:type="spellEnd"/>
      <w:r>
        <w:t xml:space="preserve"> der </w:t>
      </w:r>
      <w:proofErr w:type="spellStart"/>
      <w:r>
        <w:t>Aufsichtsbehörde</w:t>
      </w:r>
      <w:proofErr w:type="spellEnd"/>
    </w:p>
    <w:p w14:paraId="450B29DD" w14:textId="77777777" w:rsidR="00E47560" w:rsidRDefault="00E47560" w:rsidP="00E47560">
      <w:pPr>
        <w:pStyle w:val="KeinLeerraum"/>
      </w:pPr>
      <w:r>
        <w:t xml:space="preserve">Art.54 </w:t>
      </w:r>
      <w:proofErr w:type="spellStart"/>
      <w:r>
        <w:t>Errichtung</w:t>
      </w:r>
      <w:proofErr w:type="spellEnd"/>
      <w:r>
        <w:t xml:space="preserve"> der </w:t>
      </w:r>
      <w:proofErr w:type="spellStart"/>
      <w:r>
        <w:t>Aufsichtsbehörde</w:t>
      </w:r>
      <w:proofErr w:type="spellEnd"/>
    </w:p>
    <w:p w14:paraId="5851CC0A" w14:textId="77777777" w:rsidR="00E47560" w:rsidRDefault="00E47560" w:rsidP="00E47560">
      <w:pPr>
        <w:pStyle w:val="KeinLeerraum"/>
      </w:pPr>
      <w:r>
        <w:t xml:space="preserve">Art.55 </w:t>
      </w:r>
      <w:proofErr w:type="spellStart"/>
      <w:r>
        <w:t>Zuständigkeit</w:t>
      </w:r>
      <w:proofErr w:type="spellEnd"/>
    </w:p>
    <w:p w14:paraId="550D83C8" w14:textId="77777777" w:rsidR="00E47560" w:rsidRDefault="00E47560" w:rsidP="00E47560">
      <w:pPr>
        <w:pStyle w:val="KeinLeerraum"/>
      </w:pPr>
      <w:r>
        <w:t xml:space="preserve">Art.56 </w:t>
      </w:r>
      <w:proofErr w:type="spellStart"/>
      <w:r>
        <w:t>Zuständigkeit</w:t>
      </w:r>
      <w:proofErr w:type="spellEnd"/>
      <w:r>
        <w:t xml:space="preserve"> der </w:t>
      </w:r>
      <w:proofErr w:type="spellStart"/>
      <w:r>
        <w:t>federführenden</w:t>
      </w:r>
      <w:proofErr w:type="spellEnd"/>
      <w:r>
        <w:t xml:space="preserve"> </w:t>
      </w:r>
      <w:proofErr w:type="spellStart"/>
      <w:r>
        <w:t>Aufsichtsbehörde</w:t>
      </w:r>
      <w:proofErr w:type="spellEnd"/>
      <w:r>
        <w:t xml:space="preserve"> </w:t>
      </w:r>
    </w:p>
    <w:p w14:paraId="02857BEF" w14:textId="77777777" w:rsidR="00E47560" w:rsidRDefault="00E47560" w:rsidP="00E47560">
      <w:pPr>
        <w:pStyle w:val="KeinLeerraum"/>
      </w:pPr>
      <w:r>
        <w:t xml:space="preserve">Art.57 </w:t>
      </w:r>
      <w:proofErr w:type="spellStart"/>
      <w:r>
        <w:t>Aufgaben</w:t>
      </w:r>
      <w:proofErr w:type="spellEnd"/>
    </w:p>
    <w:p w14:paraId="55F01EFE" w14:textId="77777777" w:rsidR="00E47560" w:rsidRDefault="00E47560" w:rsidP="00E47560">
      <w:pPr>
        <w:pStyle w:val="KeinLeerraum"/>
      </w:pPr>
      <w:r>
        <w:t xml:space="preserve">Art.58 </w:t>
      </w:r>
      <w:proofErr w:type="spellStart"/>
      <w:r>
        <w:t>Befugnisse</w:t>
      </w:r>
      <w:proofErr w:type="spellEnd"/>
    </w:p>
    <w:p w14:paraId="77E1E5B1" w14:textId="77777777" w:rsidR="00E47560" w:rsidRDefault="00E47560" w:rsidP="00E47560">
      <w:pPr>
        <w:pStyle w:val="KeinLeerraum"/>
      </w:pPr>
      <w:r>
        <w:t xml:space="preserve">Art.59 </w:t>
      </w:r>
      <w:proofErr w:type="spellStart"/>
      <w:r>
        <w:t>Tätigkeitsbericht</w:t>
      </w:r>
      <w:proofErr w:type="spellEnd"/>
    </w:p>
    <w:p w14:paraId="3035ABF7" w14:textId="77777777" w:rsidR="00E47560" w:rsidRDefault="00E47560" w:rsidP="00E47560">
      <w:pPr>
        <w:pStyle w:val="KeinLeerraum"/>
      </w:pPr>
    </w:p>
    <w:p w14:paraId="1612F587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VII – </w:t>
      </w:r>
      <w:proofErr w:type="spellStart"/>
      <w:r>
        <w:t>Zusammenarbeit</w:t>
      </w:r>
      <w:proofErr w:type="spellEnd"/>
      <w:r>
        <w:t xml:space="preserve"> und </w:t>
      </w:r>
      <w:proofErr w:type="spellStart"/>
      <w:r>
        <w:t>Kohärenz</w:t>
      </w:r>
      <w:proofErr w:type="spellEnd"/>
    </w:p>
    <w:p w14:paraId="70620ADD" w14:textId="77777777" w:rsidR="00E47560" w:rsidRDefault="00E47560" w:rsidP="00E47560">
      <w:pPr>
        <w:pStyle w:val="KeinLeerraum"/>
      </w:pPr>
      <w:r>
        <w:t xml:space="preserve">Art.60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der </w:t>
      </w:r>
      <w:proofErr w:type="spellStart"/>
      <w:r>
        <w:t>federführenden</w:t>
      </w:r>
      <w:proofErr w:type="spellEnd"/>
      <w:r>
        <w:t xml:space="preserve"> </w:t>
      </w:r>
      <w:proofErr w:type="spellStart"/>
      <w:r>
        <w:t>Aufsichtsbehörde</w:t>
      </w:r>
      <w:proofErr w:type="spellEnd"/>
      <w:r>
        <w:t xml:space="preserve"> und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Aufsichtsbehörden</w:t>
      </w:r>
      <w:proofErr w:type="spellEnd"/>
    </w:p>
    <w:p w14:paraId="7C47C3C8" w14:textId="77777777" w:rsidR="00E47560" w:rsidRDefault="00E47560" w:rsidP="00E47560">
      <w:pPr>
        <w:pStyle w:val="KeinLeerraum"/>
      </w:pPr>
      <w:r>
        <w:t xml:space="preserve">Art.61 </w:t>
      </w:r>
      <w:proofErr w:type="spellStart"/>
      <w:r>
        <w:t>Gegenseitige</w:t>
      </w:r>
      <w:proofErr w:type="spellEnd"/>
      <w:r>
        <w:t xml:space="preserve"> </w:t>
      </w:r>
      <w:proofErr w:type="spellStart"/>
      <w:r>
        <w:t>Amtshilfe</w:t>
      </w:r>
      <w:proofErr w:type="spellEnd"/>
    </w:p>
    <w:p w14:paraId="682EC777" w14:textId="77777777" w:rsidR="00E47560" w:rsidRDefault="00E47560" w:rsidP="00E47560">
      <w:pPr>
        <w:pStyle w:val="KeinLeerraum"/>
      </w:pPr>
      <w:r>
        <w:t xml:space="preserve">Art.62 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der </w:t>
      </w:r>
      <w:proofErr w:type="spellStart"/>
      <w:r>
        <w:t>Aufsichtsbehörden</w:t>
      </w:r>
      <w:proofErr w:type="spellEnd"/>
    </w:p>
    <w:p w14:paraId="65A70B27" w14:textId="77777777" w:rsidR="00E47560" w:rsidRDefault="00E47560" w:rsidP="00E47560">
      <w:pPr>
        <w:pStyle w:val="KeinLeerraum"/>
      </w:pPr>
      <w:r>
        <w:t xml:space="preserve">Art.63 </w:t>
      </w:r>
      <w:proofErr w:type="spellStart"/>
      <w:r>
        <w:t>Kohärenzverfahren</w:t>
      </w:r>
      <w:proofErr w:type="spellEnd"/>
    </w:p>
    <w:p w14:paraId="5463B8B9" w14:textId="77777777" w:rsidR="00E47560" w:rsidRDefault="00E47560" w:rsidP="00E47560">
      <w:pPr>
        <w:pStyle w:val="KeinLeerraum"/>
      </w:pPr>
      <w:r>
        <w:t xml:space="preserve">Art.64 </w:t>
      </w:r>
      <w:proofErr w:type="spellStart"/>
      <w:r>
        <w:t>Stellungnahme</w:t>
      </w:r>
      <w:proofErr w:type="spellEnd"/>
      <w:r>
        <w:t xml:space="preserve"> des </w:t>
      </w:r>
      <w:proofErr w:type="spellStart"/>
      <w:r>
        <w:t>Ausschusses</w:t>
      </w:r>
      <w:proofErr w:type="spellEnd"/>
    </w:p>
    <w:p w14:paraId="10B27E15" w14:textId="77777777" w:rsidR="00E47560" w:rsidRDefault="00E47560" w:rsidP="00E47560">
      <w:pPr>
        <w:pStyle w:val="KeinLeerraum"/>
      </w:pPr>
      <w:r>
        <w:t xml:space="preserve">Art.65 </w:t>
      </w:r>
      <w:proofErr w:type="spellStart"/>
      <w:r>
        <w:t>Streitbeilegung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Ausschuss</w:t>
      </w:r>
      <w:proofErr w:type="spellEnd"/>
    </w:p>
    <w:p w14:paraId="2A9B9C2F" w14:textId="77777777" w:rsidR="00E47560" w:rsidRDefault="00E47560" w:rsidP="00E47560">
      <w:pPr>
        <w:pStyle w:val="KeinLeerraum"/>
      </w:pPr>
      <w:r>
        <w:t xml:space="preserve">Art.66 </w:t>
      </w:r>
      <w:proofErr w:type="spellStart"/>
      <w:r>
        <w:t>Dringlichkeitsverfahren</w:t>
      </w:r>
      <w:proofErr w:type="spellEnd"/>
    </w:p>
    <w:p w14:paraId="2EC38587" w14:textId="77777777" w:rsidR="00E47560" w:rsidRDefault="00E47560" w:rsidP="00E47560">
      <w:pPr>
        <w:pStyle w:val="KeinLeerraum"/>
      </w:pPr>
      <w:r>
        <w:t xml:space="preserve">Art.67 </w:t>
      </w:r>
      <w:proofErr w:type="spellStart"/>
      <w:r>
        <w:t>Informationsaustausch</w:t>
      </w:r>
      <w:proofErr w:type="spellEnd"/>
    </w:p>
    <w:p w14:paraId="1DE64657" w14:textId="77777777" w:rsidR="00E47560" w:rsidRDefault="00E47560" w:rsidP="00E47560">
      <w:pPr>
        <w:pStyle w:val="KeinLeerraum"/>
      </w:pPr>
      <w:r>
        <w:t xml:space="preserve">Art.68 </w:t>
      </w:r>
      <w:proofErr w:type="spellStart"/>
      <w:r>
        <w:t>Europäischer</w:t>
      </w:r>
      <w:proofErr w:type="spellEnd"/>
      <w:r>
        <w:t xml:space="preserve"> </w:t>
      </w:r>
      <w:proofErr w:type="spellStart"/>
      <w:r>
        <w:t>Datenschutzausschuss</w:t>
      </w:r>
      <w:proofErr w:type="spellEnd"/>
      <w:r>
        <w:t xml:space="preserve"> </w:t>
      </w:r>
    </w:p>
    <w:p w14:paraId="26253739" w14:textId="77777777" w:rsidR="00E47560" w:rsidRDefault="00E47560" w:rsidP="00E47560">
      <w:pPr>
        <w:pStyle w:val="KeinLeerraum"/>
      </w:pPr>
      <w:r>
        <w:t xml:space="preserve">Art.69 </w:t>
      </w:r>
      <w:proofErr w:type="spellStart"/>
      <w:r>
        <w:t>Unabhängigkeit</w:t>
      </w:r>
      <w:proofErr w:type="spellEnd"/>
    </w:p>
    <w:p w14:paraId="7CC44159" w14:textId="77777777" w:rsidR="00E47560" w:rsidRDefault="00E47560" w:rsidP="00E47560">
      <w:pPr>
        <w:pStyle w:val="KeinLeerraum"/>
      </w:pPr>
      <w:r>
        <w:t xml:space="preserve">Art.70 </w:t>
      </w:r>
      <w:proofErr w:type="spellStart"/>
      <w:r>
        <w:t>Aufgaben</w:t>
      </w:r>
      <w:proofErr w:type="spellEnd"/>
      <w:r>
        <w:t xml:space="preserve"> des </w:t>
      </w:r>
      <w:proofErr w:type="spellStart"/>
      <w:r>
        <w:t>Ausschusses</w:t>
      </w:r>
      <w:proofErr w:type="spellEnd"/>
    </w:p>
    <w:p w14:paraId="100BE3A7" w14:textId="77777777" w:rsidR="00E47560" w:rsidRDefault="00E47560" w:rsidP="00E47560">
      <w:pPr>
        <w:pStyle w:val="KeinLeerraum"/>
      </w:pPr>
      <w:r>
        <w:t xml:space="preserve">Art.71 </w:t>
      </w:r>
      <w:proofErr w:type="spellStart"/>
      <w:r>
        <w:t>Berichterstattung</w:t>
      </w:r>
      <w:proofErr w:type="spellEnd"/>
    </w:p>
    <w:p w14:paraId="33293BEF" w14:textId="77777777" w:rsidR="00E47560" w:rsidRDefault="00E47560" w:rsidP="00E47560">
      <w:pPr>
        <w:pStyle w:val="KeinLeerraum"/>
      </w:pPr>
      <w:r>
        <w:t xml:space="preserve">Art.72 </w:t>
      </w:r>
      <w:proofErr w:type="spellStart"/>
      <w:r>
        <w:t>Verfahrensweise</w:t>
      </w:r>
      <w:proofErr w:type="spellEnd"/>
    </w:p>
    <w:p w14:paraId="4FED177D" w14:textId="77777777" w:rsidR="00E47560" w:rsidRDefault="00E47560" w:rsidP="00E47560">
      <w:pPr>
        <w:pStyle w:val="KeinLeerraum"/>
      </w:pPr>
      <w:r>
        <w:t xml:space="preserve">Art.73 </w:t>
      </w:r>
      <w:proofErr w:type="spellStart"/>
      <w:r>
        <w:t>Vorsitz</w:t>
      </w:r>
      <w:proofErr w:type="spellEnd"/>
    </w:p>
    <w:p w14:paraId="55AB042E" w14:textId="77777777" w:rsidR="00E47560" w:rsidRDefault="00E47560" w:rsidP="00E47560">
      <w:pPr>
        <w:pStyle w:val="KeinLeerraum"/>
      </w:pPr>
      <w:r>
        <w:t xml:space="preserve">Art.74 </w:t>
      </w:r>
      <w:proofErr w:type="spellStart"/>
      <w:r>
        <w:t>Aufgaben</w:t>
      </w:r>
      <w:proofErr w:type="spellEnd"/>
      <w:r>
        <w:t xml:space="preserve"> des </w:t>
      </w:r>
      <w:proofErr w:type="spellStart"/>
      <w:r>
        <w:t>Vorsitzes</w:t>
      </w:r>
      <w:proofErr w:type="spellEnd"/>
    </w:p>
    <w:p w14:paraId="1CCC3686" w14:textId="77777777" w:rsidR="00E47560" w:rsidRDefault="00E47560" w:rsidP="00E47560">
      <w:pPr>
        <w:pStyle w:val="KeinLeerraum"/>
      </w:pPr>
      <w:r>
        <w:t xml:space="preserve">Art.75 </w:t>
      </w:r>
      <w:proofErr w:type="spellStart"/>
      <w:r>
        <w:t>Sekretariat</w:t>
      </w:r>
      <w:proofErr w:type="spellEnd"/>
    </w:p>
    <w:p w14:paraId="6154760A" w14:textId="77777777" w:rsidR="00E47560" w:rsidRDefault="00E47560" w:rsidP="00E47560">
      <w:pPr>
        <w:pStyle w:val="KeinLeerraum"/>
      </w:pPr>
      <w:r>
        <w:t xml:space="preserve">Art.76 </w:t>
      </w:r>
      <w:proofErr w:type="spellStart"/>
      <w:r>
        <w:t>Vertraulichkeit</w:t>
      </w:r>
      <w:proofErr w:type="spellEnd"/>
    </w:p>
    <w:p w14:paraId="004142CA" w14:textId="77777777" w:rsidR="00E47560" w:rsidRDefault="00E47560" w:rsidP="00E47560">
      <w:pPr>
        <w:pStyle w:val="KeinLeerraum"/>
      </w:pPr>
    </w:p>
    <w:p w14:paraId="62ABFB19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VIII – </w:t>
      </w:r>
      <w:proofErr w:type="spellStart"/>
      <w:r>
        <w:t>Rechtsbehelfe</w:t>
      </w:r>
      <w:proofErr w:type="spellEnd"/>
      <w:r>
        <w:t xml:space="preserve">, </w:t>
      </w:r>
      <w:proofErr w:type="spellStart"/>
      <w:r>
        <w:t>Haftung</w:t>
      </w:r>
      <w:proofErr w:type="spellEnd"/>
      <w:r>
        <w:t xml:space="preserve"> und </w:t>
      </w:r>
      <w:proofErr w:type="spellStart"/>
      <w:r>
        <w:t>Sanktionen</w:t>
      </w:r>
      <w:proofErr w:type="spellEnd"/>
    </w:p>
    <w:p w14:paraId="7ACCE55E" w14:textId="77777777" w:rsidR="00E47560" w:rsidRDefault="00E47560" w:rsidP="00E47560">
      <w:pPr>
        <w:pStyle w:val="KeinLeerraum"/>
      </w:pPr>
      <w:r>
        <w:t xml:space="preserve">Art.77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Beschwerde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Aufsichtsbehörde</w:t>
      </w:r>
      <w:proofErr w:type="spellEnd"/>
    </w:p>
    <w:p w14:paraId="218835F8" w14:textId="77777777" w:rsidR="00E47560" w:rsidRDefault="00E47560" w:rsidP="00E47560">
      <w:pPr>
        <w:pStyle w:val="KeinLeerraum"/>
      </w:pPr>
      <w:r>
        <w:t xml:space="preserve">Art.78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wirksamen</w:t>
      </w:r>
      <w:proofErr w:type="spellEnd"/>
      <w:r>
        <w:t xml:space="preserve"> </w:t>
      </w:r>
      <w:proofErr w:type="spellStart"/>
      <w:r>
        <w:t>Rechtsbehelf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Aufsichtsbehörde</w:t>
      </w:r>
      <w:proofErr w:type="spellEnd"/>
    </w:p>
    <w:p w14:paraId="018B3773" w14:textId="77777777" w:rsidR="00E47560" w:rsidRDefault="00E47560" w:rsidP="00E47560">
      <w:pPr>
        <w:pStyle w:val="KeinLeerraum"/>
      </w:pPr>
      <w:r>
        <w:t xml:space="preserve">Art.79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wirksamen</w:t>
      </w:r>
      <w:proofErr w:type="spellEnd"/>
      <w:r>
        <w:t xml:space="preserve"> </w:t>
      </w:r>
      <w:proofErr w:type="spellStart"/>
      <w:r>
        <w:t>gerichtlichen</w:t>
      </w:r>
      <w:proofErr w:type="spellEnd"/>
      <w:r>
        <w:t xml:space="preserve"> </w:t>
      </w:r>
      <w:proofErr w:type="spellStart"/>
      <w:r>
        <w:t>Rechtsbehelf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Verantwortliche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Auftragsverarbeiter</w:t>
      </w:r>
      <w:proofErr w:type="spellEnd"/>
    </w:p>
    <w:p w14:paraId="54DAEDC6" w14:textId="77777777" w:rsidR="00E47560" w:rsidRDefault="00E47560" w:rsidP="00E47560">
      <w:pPr>
        <w:pStyle w:val="KeinLeerraum"/>
      </w:pPr>
      <w:r>
        <w:t xml:space="preserve">Art.80 </w:t>
      </w:r>
      <w:proofErr w:type="spellStart"/>
      <w:r>
        <w:t>Vertretung</w:t>
      </w:r>
      <w:proofErr w:type="spellEnd"/>
      <w:r>
        <w:t xml:space="preserve"> von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Personen</w:t>
      </w:r>
      <w:proofErr w:type="spellEnd"/>
    </w:p>
    <w:p w14:paraId="6DE0AB35" w14:textId="77777777" w:rsidR="00E47560" w:rsidRDefault="00E47560" w:rsidP="00E47560">
      <w:pPr>
        <w:pStyle w:val="KeinLeerraum"/>
      </w:pPr>
      <w:r>
        <w:t xml:space="preserve">Art.81 </w:t>
      </w:r>
      <w:proofErr w:type="spellStart"/>
      <w:r>
        <w:t>Aussetzung</w:t>
      </w:r>
      <w:proofErr w:type="spellEnd"/>
      <w:r>
        <w:t xml:space="preserve"> des </w:t>
      </w:r>
      <w:proofErr w:type="spellStart"/>
      <w:r>
        <w:t>Verfahrens</w:t>
      </w:r>
      <w:proofErr w:type="spellEnd"/>
    </w:p>
    <w:p w14:paraId="5F14F33C" w14:textId="77777777" w:rsidR="00E47560" w:rsidRDefault="00E47560" w:rsidP="00E47560">
      <w:pPr>
        <w:pStyle w:val="KeinLeerraum"/>
      </w:pPr>
      <w:r>
        <w:t xml:space="preserve">Art.82 </w:t>
      </w:r>
      <w:proofErr w:type="spellStart"/>
      <w:r>
        <w:t>Haftung</w:t>
      </w:r>
      <w:proofErr w:type="spellEnd"/>
      <w:r>
        <w:t xml:space="preserve"> und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Schadensersatz</w:t>
      </w:r>
      <w:proofErr w:type="spellEnd"/>
    </w:p>
    <w:p w14:paraId="41C41CB0" w14:textId="77777777" w:rsidR="00E47560" w:rsidRDefault="00E47560" w:rsidP="00E47560">
      <w:pPr>
        <w:pStyle w:val="KeinLeerraum"/>
      </w:pPr>
      <w:r>
        <w:t xml:space="preserve">Art.83 Allgemeine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Verhängung</w:t>
      </w:r>
      <w:proofErr w:type="spellEnd"/>
      <w:r>
        <w:t xml:space="preserve"> von </w:t>
      </w:r>
      <w:proofErr w:type="spellStart"/>
      <w:r>
        <w:t>Geldbußen</w:t>
      </w:r>
      <w:proofErr w:type="spellEnd"/>
    </w:p>
    <w:p w14:paraId="1B8D6840" w14:textId="77777777" w:rsidR="00E47560" w:rsidRDefault="00E47560" w:rsidP="00E47560">
      <w:pPr>
        <w:pStyle w:val="KeinLeerraum"/>
      </w:pPr>
      <w:r>
        <w:t xml:space="preserve">Art.84 </w:t>
      </w:r>
      <w:proofErr w:type="spellStart"/>
      <w:r>
        <w:t>Sanktionen</w:t>
      </w:r>
      <w:proofErr w:type="spellEnd"/>
    </w:p>
    <w:p w14:paraId="1AE530B3" w14:textId="77777777" w:rsidR="00E47560" w:rsidRDefault="00E47560" w:rsidP="00E47560">
      <w:pPr>
        <w:pStyle w:val="KeinLeerraum"/>
      </w:pPr>
    </w:p>
    <w:p w14:paraId="658A0783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</w:t>
      </w:r>
      <w:proofErr w:type="gramStart"/>
      <w:r>
        <w:t>IX :</w:t>
      </w:r>
      <w:proofErr w:type="gramEnd"/>
      <w:r>
        <w:t xml:space="preserve"> </w:t>
      </w:r>
      <w:proofErr w:type="spellStart"/>
      <w:r>
        <w:t>Vorschriften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Datenverarbeitungssituationen</w:t>
      </w:r>
      <w:proofErr w:type="spellEnd"/>
    </w:p>
    <w:p w14:paraId="7B4F072D" w14:textId="77777777" w:rsidR="00E47560" w:rsidRDefault="00E47560" w:rsidP="00E47560">
      <w:pPr>
        <w:pStyle w:val="KeinLeerraum"/>
      </w:pPr>
      <w:r>
        <w:t xml:space="preserve">Art.85 </w:t>
      </w:r>
      <w:proofErr w:type="spellStart"/>
      <w:r>
        <w:t>Verarbeitung</w:t>
      </w:r>
      <w:proofErr w:type="spellEnd"/>
      <w:r>
        <w:t xml:space="preserve"> und </w:t>
      </w:r>
      <w:proofErr w:type="spellStart"/>
      <w:r>
        <w:t>Freiheit</w:t>
      </w:r>
      <w:proofErr w:type="spellEnd"/>
      <w:r>
        <w:t xml:space="preserve"> der </w:t>
      </w:r>
      <w:proofErr w:type="spellStart"/>
      <w:r>
        <w:t>Meinungsäußerung</w:t>
      </w:r>
      <w:proofErr w:type="spellEnd"/>
      <w:r>
        <w:t xml:space="preserve"> und </w:t>
      </w:r>
      <w:proofErr w:type="spellStart"/>
      <w:r>
        <w:t>Informationsfreiheit</w:t>
      </w:r>
      <w:proofErr w:type="spellEnd"/>
      <w:r>
        <w:t xml:space="preserve"> </w:t>
      </w:r>
    </w:p>
    <w:p w14:paraId="21D33A57" w14:textId="77777777" w:rsidR="00E47560" w:rsidRDefault="00E47560" w:rsidP="00E47560">
      <w:pPr>
        <w:pStyle w:val="KeinLeerraum"/>
      </w:pPr>
      <w:r>
        <w:t xml:space="preserve">Art.86 </w:t>
      </w:r>
      <w:proofErr w:type="spellStart"/>
      <w:r>
        <w:t>Verarbeitung</w:t>
      </w:r>
      <w:proofErr w:type="spellEnd"/>
      <w:r>
        <w:t xml:space="preserve"> und </w:t>
      </w:r>
      <w:proofErr w:type="spellStart"/>
      <w:r>
        <w:t>Zugang</w:t>
      </w:r>
      <w:proofErr w:type="spellEnd"/>
      <w:r>
        <w:t xml:space="preserve"> der </w:t>
      </w:r>
      <w:proofErr w:type="spellStart"/>
      <w:r>
        <w:t>Öffentlichkeit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amtlichen</w:t>
      </w:r>
      <w:proofErr w:type="spellEnd"/>
      <w:r>
        <w:t xml:space="preserve"> </w:t>
      </w:r>
      <w:proofErr w:type="spellStart"/>
      <w:r>
        <w:t>Dokumenten</w:t>
      </w:r>
      <w:proofErr w:type="spellEnd"/>
    </w:p>
    <w:p w14:paraId="3F71F226" w14:textId="77777777" w:rsidR="00E47560" w:rsidRDefault="00E47560" w:rsidP="00E47560">
      <w:pPr>
        <w:pStyle w:val="KeinLeerraum"/>
      </w:pPr>
      <w:r>
        <w:lastRenderedPageBreak/>
        <w:t xml:space="preserve">Art.87 </w:t>
      </w:r>
      <w:proofErr w:type="spellStart"/>
      <w:r>
        <w:t>Verarbeitung</w:t>
      </w:r>
      <w:proofErr w:type="spellEnd"/>
      <w:r>
        <w:t xml:space="preserve"> der </w:t>
      </w:r>
      <w:proofErr w:type="spellStart"/>
      <w:r>
        <w:t>nationalen</w:t>
      </w:r>
      <w:proofErr w:type="spellEnd"/>
      <w:r>
        <w:t xml:space="preserve"> </w:t>
      </w:r>
      <w:proofErr w:type="spellStart"/>
      <w:r>
        <w:t>Kennziffer</w:t>
      </w:r>
      <w:proofErr w:type="spellEnd"/>
    </w:p>
    <w:p w14:paraId="11636DC8" w14:textId="77777777" w:rsidR="00E47560" w:rsidRDefault="00E47560" w:rsidP="00E47560">
      <w:pPr>
        <w:pStyle w:val="KeinLeerraum"/>
      </w:pPr>
      <w:r>
        <w:t xml:space="preserve">Art.88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Beschäftigungskontext</w:t>
      </w:r>
      <w:proofErr w:type="spellEnd"/>
    </w:p>
    <w:p w14:paraId="2E773A32" w14:textId="77777777" w:rsidR="00E47560" w:rsidRDefault="00E47560" w:rsidP="00E47560">
      <w:pPr>
        <w:pStyle w:val="KeinLeerraum"/>
      </w:pPr>
      <w:r>
        <w:t xml:space="preserve">Art.89 </w:t>
      </w:r>
      <w:proofErr w:type="spellStart"/>
      <w:r>
        <w:t>Garantien</w:t>
      </w:r>
      <w:proofErr w:type="spellEnd"/>
      <w:r>
        <w:t xml:space="preserve"> und </w:t>
      </w:r>
      <w:proofErr w:type="spellStart"/>
      <w:r>
        <w:t>Ausnahmen</w:t>
      </w:r>
      <w:proofErr w:type="spellEnd"/>
      <w:r>
        <w:t xml:space="preserve"> in </w:t>
      </w:r>
      <w:proofErr w:type="spellStart"/>
      <w:r>
        <w:t>Bezug</w:t>
      </w:r>
      <w:proofErr w:type="spellEnd"/>
      <w:r>
        <w:t xml:space="preserve"> auf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Interesse </w:t>
      </w:r>
      <w:proofErr w:type="spellStart"/>
      <w:r>
        <w:t>liegenden</w:t>
      </w:r>
      <w:proofErr w:type="spellEnd"/>
      <w:r>
        <w:t xml:space="preserve"> </w:t>
      </w:r>
      <w:proofErr w:type="spellStart"/>
      <w:r>
        <w:t>Archivzwecken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wissenschaftlichen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historischen</w:t>
      </w:r>
      <w:proofErr w:type="spellEnd"/>
      <w:r>
        <w:t xml:space="preserve"> </w:t>
      </w:r>
      <w:proofErr w:type="spellStart"/>
      <w:r>
        <w:t>Forschungszwecken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statistischen</w:t>
      </w:r>
      <w:proofErr w:type="spellEnd"/>
      <w:r>
        <w:t xml:space="preserve"> </w:t>
      </w:r>
      <w:proofErr w:type="spellStart"/>
      <w:r>
        <w:t>Zwecken</w:t>
      </w:r>
      <w:proofErr w:type="spellEnd"/>
    </w:p>
    <w:p w14:paraId="2F004DE8" w14:textId="77777777" w:rsidR="00E47560" w:rsidRDefault="00E47560" w:rsidP="00E47560">
      <w:pPr>
        <w:pStyle w:val="KeinLeerraum"/>
      </w:pPr>
      <w:r>
        <w:t xml:space="preserve">Art.90 </w:t>
      </w:r>
      <w:proofErr w:type="spellStart"/>
      <w:r>
        <w:t>Geheimhaltungspflichten</w:t>
      </w:r>
      <w:proofErr w:type="spellEnd"/>
    </w:p>
    <w:p w14:paraId="39B98A88" w14:textId="77777777" w:rsidR="00E47560" w:rsidRDefault="00E47560" w:rsidP="00E47560">
      <w:pPr>
        <w:pStyle w:val="KeinLeerraum"/>
      </w:pPr>
      <w:r>
        <w:t xml:space="preserve">Art.91 </w:t>
      </w:r>
      <w:proofErr w:type="spellStart"/>
      <w:r>
        <w:t>Bestehende</w:t>
      </w:r>
      <w:proofErr w:type="spellEnd"/>
      <w:r>
        <w:t xml:space="preserve"> </w:t>
      </w:r>
      <w:proofErr w:type="spellStart"/>
      <w:r>
        <w:t>Datenschutzvorschriften</w:t>
      </w:r>
      <w:proofErr w:type="spellEnd"/>
      <w:r>
        <w:t xml:space="preserve"> von </w:t>
      </w:r>
      <w:proofErr w:type="spellStart"/>
      <w:r>
        <w:t>Kirchen</w:t>
      </w:r>
      <w:proofErr w:type="spellEnd"/>
      <w:r>
        <w:t xml:space="preserve"> und </w:t>
      </w:r>
      <w:proofErr w:type="spellStart"/>
      <w:r>
        <w:t>religiösen</w:t>
      </w:r>
      <w:proofErr w:type="spellEnd"/>
      <w:r>
        <w:t xml:space="preserve"> </w:t>
      </w:r>
      <w:proofErr w:type="spellStart"/>
      <w:r>
        <w:t>Vereinigungen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Gemeinschaften</w:t>
      </w:r>
      <w:proofErr w:type="spellEnd"/>
    </w:p>
    <w:p w14:paraId="1E0467AA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X – </w:t>
      </w:r>
      <w:proofErr w:type="spellStart"/>
      <w:r>
        <w:t>Delegierte</w:t>
      </w:r>
      <w:proofErr w:type="spellEnd"/>
      <w:r>
        <w:t xml:space="preserve"> </w:t>
      </w:r>
      <w:proofErr w:type="spellStart"/>
      <w:r>
        <w:t>Rechtsakte</w:t>
      </w:r>
      <w:proofErr w:type="spellEnd"/>
      <w:r>
        <w:t xml:space="preserve"> und </w:t>
      </w:r>
      <w:proofErr w:type="spellStart"/>
      <w:r>
        <w:t>Durchführungsrechtsakte</w:t>
      </w:r>
      <w:proofErr w:type="spellEnd"/>
    </w:p>
    <w:p w14:paraId="2A099995" w14:textId="77777777" w:rsidR="00E47560" w:rsidRDefault="00E47560" w:rsidP="00E47560">
      <w:pPr>
        <w:pStyle w:val="KeinLeerraum"/>
      </w:pPr>
      <w:r>
        <w:t xml:space="preserve">Art. 92 </w:t>
      </w:r>
      <w:proofErr w:type="spellStart"/>
      <w:r>
        <w:t>Ausübung</w:t>
      </w:r>
      <w:proofErr w:type="spellEnd"/>
      <w:r>
        <w:t xml:space="preserve"> der </w:t>
      </w:r>
      <w:proofErr w:type="spellStart"/>
      <w:r>
        <w:t>Befugnisübertragung</w:t>
      </w:r>
      <w:proofErr w:type="spellEnd"/>
    </w:p>
    <w:p w14:paraId="4D55C524" w14:textId="77777777" w:rsidR="00E47560" w:rsidRDefault="00E47560" w:rsidP="00E47560">
      <w:pPr>
        <w:pStyle w:val="KeinLeerraum"/>
      </w:pPr>
      <w:r>
        <w:t xml:space="preserve">Art. 93 </w:t>
      </w:r>
      <w:proofErr w:type="spellStart"/>
      <w:r>
        <w:t>Ausschussverfahren</w:t>
      </w:r>
      <w:proofErr w:type="spellEnd"/>
    </w:p>
    <w:p w14:paraId="6E78D203" w14:textId="77777777" w:rsidR="00E47560" w:rsidRDefault="00E47560" w:rsidP="00E47560">
      <w:pPr>
        <w:pStyle w:val="KeinLeerraum"/>
      </w:pPr>
    </w:p>
    <w:p w14:paraId="2C1DB86C" w14:textId="77777777" w:rsidR="00E47560" w:rsidRDefault="00E47560" w:rsidP="00E47560">
      <w:pPr>
        <w:pStyle w:val="KeinLeerraum"/>
      </w:pPr>
      <w:proofErr w:type="spellStart"/>
      <w:r>
        <w:t>Kapitel</w:t>
      </w:r>
      <w:proofErr w:type="spellEnd"/>
      <w:r>
        <w:t xml:space="preserve"> XI – </w:t>
      </w:r>
      <w:proofErr w:type="spellStart"/>
      <w:r>
        <w:t>Schlussbestimmungen</w:t>
      </w:r>
      <w:proofErr w:type="spellEnd"/>
    </w:p>
    <w:p w14:paraId="0B38E07A" w14:textId="77777777" w:rsidR="00E47560" w:rsidRDefault="00E47560" w:rsidP="00E47560">
      <w:pPr>
        <w:pStyle w:val="KeinLeerraum"/>
      </w:pPr>
      <w:r>
        <w:t xml:space="preserve">Art. 94 </w:t>
      </w:r>
      <w:proofErr w:type="spellStart"/>
      <w:r>
        <w:t>Aufhebung</w:t>
      </w:r>
      <w:proofErr w:type="spellEnd"/>
      <w:r>
        <w:t xml:space="preserve"> der </w:t>
      </w:r>
      <w:proofErr w:type="spellStart"/>
      <w:r>
        <w:t>Richtlinie</w:t>
      </w:r>
      <w:proofErr w:type="spellEnd"/>
      <w:r>
        <w:t xml:space="preserve"> 95/46/EG </w:t>
      </w:r>
    </w:p>
    <w:p w14:paraId="2008689C" w14:textId="77777777" w:rsidR="00E47560" w:rsidRDefault="00E47560" w:rsidP="00E47560">
      <w:pPr>
        <w:pStyle w:val="KeinLeerraum"/>
      </w:pPr>
      <w:r>
        <w:t xml:space="preserve">Art. 95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Richtlinie</w:t>
      </w:r>
      <w:proofErr w:type="spellEnd"/>
      <w:r>
        <w:t xml:space="preserve"> 2002/58/EG</w:t>
      </w:r>
    </w:p>
    <w:p w14:paraId="7DA1FCAA" w14:textId="77777777" w:rsidR="00E47560" w:rsidRDefault="00E47560" w:rsidP="00E47560">
      <w:pPr>
        <w:pStyle w:val="KeinLeerraum"/>
      </w:pPr>
      <w:r>
        <w:t xml:space="preserve">Art. 96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geschlossenen</w:t>
      </w:r>
      <w:proofErr w:type="spellEnd"/>
      <w:r>
        <w:t xml:space="preserve"> </w:t>
      </w:r>
      <w:proofErr w:type="spellStart"/>
      <w:r>
        <w:t>Übereinkünften</w:t>
      </w:r>
      <w:proofErr w:type="spellEnd"/>
    </w:p>
    <w:p w14:paraId="4A66F759" w14:textId="77777777" w:rsidR="00E47560" w:rsidRDefault="00E47560" w:rsidP="00E47560">
      <w:pPr>
        <w:pStyle w:val="KeinLeerraum"/>
      </w:pPr>
      <w:r>
        <w:t xml:space="preserve">Art. 97 </w:t>
      </w:r>
      <w:proofErr w:type="spellStart"/>
      <w:r>
        <w:t>Berichte</w:t>
      </w:r>
      <w:proofErr w:type="spellEnd"/>
      <w:r>
        <w:t xml:space="preserve"> der </w:t>
      </w:r>
      <w:proofErr w:type="spellStart"/>
      <w:r>
        <w:t>Kommission</w:t>
      </w:r>
      <w:proofErr w:type="spellEnd"/>
      <w:r>
        <w:t xml:space="preserve"> </w:t>
      </w:r>
    </w:p>
    <w:p w14:paraId="6B2BF941" w14:textId="77777777" w:rsidR="00E47560" w:rsidRDefault="00E47560" w:rsidP="00E47560">
      <w:pPr>
        <w:pStyle w:val="KeinLeerraum"/>
      </w:pPr>
      <w:r>
        <w:t xml:space="preserve">Art. 98 </w:t>
      </w:r>
      <w:proofErr w:type="spellStart"/>
      <w:r>
        <w:t>Überprüfung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 </w:t>
      </w:r>
      <w:proofErr w:type="spellStart"/>
      <w:r>
        <w:t>Rechtsake</w:t>
      </w:r>
      <w:proofErr w:type="spellEnd"/>
      <w:r>
        <w:t xml:space="preserve"> der Union </w:t>
      </w:r>
      <w:proofErr w:type="spellStart"/>
      <w:r>
        <w:t>zum</w:t>
      </w:r>
      <w:proofErr w:type="spellEnd"/>
      <w:r>
        <w:t xml:space="preserve"> </w:t>
      </w:r>
      <w:proofErr w:type="spellStart"/>
      <w:r>
        <w:t>Datenschutz</w:t>
      </w:r>
      <w:proofErr w:type="spellEnd"/>
    </w:p>
    <w:p w14:paraId="11063059" w14:textId="77777777" w:rsidR="00E47560" w:rsidRDefault="00E47560" w:rsidP="00E47560">
      <w:pPr>
        <w:pStyle w:val="KeinLeerraum"/>
      </w:pPr>
      <w:r>
        <w:t xml:space="preserve">Art. 99 </w:t>
      </w:r>
      <w:proofErr w:type="spellStart"/>
      <w:r>
        <w:t>Inkrafttreten</w:t>
      </w:r>
      <w:proofErr w:type="spellEnd"/>
      <w:r>
        <w:t xml:space="preserve"> und </w:t>
      </w:r>
      <w:proofErr w:type="spellStart"/>
      <w:r>
        <w:t>Anwendung</w:t>
      </w:r>
      <w:proofErr w:type="spellEnd"/>
    </w:p>
    <w:p w14:paraId="35797204" w14:textId="77777777" w:rsidR="00E47560" w:rsidRDefault="00E47560" w:rsidP="00E47560">
      <w:pPr>
        <w:pStyle w:val="KeinLeerraum"/>
      </w:pPr>
    </w:p>
    <w:p w14:paraId="0F17D953" w14:textId="77777777" w:rsidR="00E47560" w:rsidRDefault="00E47560" w:rsidP="00E47560">
      <w:pPr>
        <w:pStyle w:val="KeinLeerraum"/>
      </w:pPr>
    </w:p>
    <w:p w14:paraId="20F8FEC6" w14:textId="77777777" w:rsidR="00E47560" w:rsidRDefault="00E47560" w:rsidP="00E47560">
      <w:pPr>
        <w:pStyle w:val="KeinLeerraum"/>
      </w:pPr>
      <w:proofErr w:type="spellStart"/>
      <w:r>
        <w:t>Erwägungsgründe</w:t>
      </w:r>
      <w:proofErr w:type="spellEnd"/>
      <w:r>
        <w:t xml:space="preserve"> der EU-</w:t>
      </w:r>
      <w:proofErr w:type="spellStart"/>
      <w:r>
        <w:t>Datenschutz</w:t>
      </w:r>
      <w:proofErr w:type="spellEnd"/>
      <w:r>
        <w:t>-</w:t>
      </w:r>
      <w:proofErr w:type="spellStart"/>
      <w:r>
        <w:t>Grundverordnung</w:t>
      </w:r>
      <w:proofErr w:type="spellEnd"/>
    </w:p>
    <w:p w14:paraId="0B52BF8F" w14:textId="77777777" w:rsidR="00E47560" w:rsidRDefault="00E47560" w:rsidP="00E47560">
      <w:pPr>
        <w:pStyle w:val="KeinLeerraum"/>
      </w:pPr>
      <w:proofErr w:type="spellStart"/>
      <w:r>
        <w:t>Erwägungsgründe</w:t>
      </w:r>
      <w:proofErr w:type="spellEnd"/>
      <w:r>
        <w:t xml:space="preserve"> der</w:t>
      </w:r>
    </w:p>
    <w:p w14:paraId="008B8B53" w14:textId="77777777" w:rsidR="00E47560" w:rsidRDefault="00E47560" w:rsidP="00E47560">
      <w:pPr>
        <w:pStyle w:val="KeinLeerraum"/>
      </w:pPr>
      <w:r>
        <w:t>EU-</w:t>
      </w:r>
      <w:proofErr w:type="spellStart"/>
      <w:r>
        <w:t>Datenschutz</w:t>
      </w:r>
      <w:proofErr w:type="spellEnd"/>
      <w:r>
        <w:t>-</w:t>
      </w:r>
      <w:proofErr w:type="spellStart"/>
      <w:r>
        <w:t>Grundverordnung</w:t>
      </w:r>
      <w:proofErr w:type="spellEnd"/>
      <w:r>
        <w:t xml:space="preserve"> (EU-DSGVO)</w:t>
      </w:r>
    </w:p>
    <w:p w14:paraId="046C8F60" w14:textId="77777777" w:rsidR="00E47560" w:rsidRDefault="00E47560" w:rsidP="00E47560">
      <w:pPr>
        <w:pStyle w:val="KeinLeerraum"/>
      </w:pPr>
      <w:r>
        <w:t xml:space="preserve">Die </w:t>
      </w:r>
      <w:proofErr w:type="spellStart"/>
      <w:r>
        <w:t>aufgelisteten</w:t>
      </w:r>
      <w:proofErr w:type="spellEnd"/>
      <w:r>
        <w:t xml:space="preserve"> </w:t>
      </w:r>
      <w:proofErr w:type="spellStart"/>
      <w:r>
        <w:t>Erwägungsgründe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Ziele</w:t>
      </w:r>
      <w:proofErr w:type="spellEnd"/>
      <w:r>
        <w:t xml:space="preserve">, die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Formulierung</w:t>
      </w:r>
      <w:proofErr w:type="spellEnd"/>
      <w:r>
        <w:t xml:space="preserve"> der </w:t>
      </w:r>
      <w:proofErr w:type="spellStart"/>
      <w:r>
        <w:t>Artikel</w:t>
      </w:r>
      <w:proofErr w:type="spellEnd"/>
      <w:r>
        <w:t xml:space="preserve"> der EU-</w:t>
      </w:r>
      <w:proofErr w:type="spellStart"/>
      <w:r>
        <w:t>Verordnung</w:t>
      </w:r>
      <w:proofErr w:type="spellEnd"/>
      <w:r>
        <w:t xml:space="preserve"> </w:t>
      </w:r>
      <w:proofErr w:type="spellStart"/>
      <w:r>
        <w:t>verfolgt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Sie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die </w:t>
      </w:r>
      <w:proofErr w:type="spellStart"/>
      <w:r>
        <w:t>eigentlichen</w:t>
      </w:r>
      <w:proofErr w:type="spellEnd"/>
      <w:r>
        <w:t xml:space="preserve"> </w:t>
      </w:r>
      <w:proofErr w:type="spellStart"/>
      <w:r>
        <w:t>Rechtsnormen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hilfreich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Interpretation der </w:t>
      </w:r>
      <w:proofErr w:type="spellStart"/>
      <w:r>
        <w:t>Rechtsnormen</w:t>
      </w:r>
      <w:proofErr w:type="spellEnd"/>
      <w:r>
        <w:t>.</w:t>
      </w:r>
    </w:p>
    <w:p w14:paraId="53C50D66" w14:textId="77777777" w:rsidR="00E47560" w:rsidRDefault="00E47560" w:rsidP="00E47560">
      <w:pPr>
        <w:pStyle w:val="KeinLeerraum"/>
      </w:pPr>
    </w:p>
    <w:p w14:paraId="499FD7E1" w14:textId="77777777" w:rsidR="00E47560" w:rsidRDefault="00E47560" w:rsidP="00E47560">
      <w:pPr>
        <w:pStyle w:val="KeinLeerraum"/>
      </w:pPr>
      <w:r>
        <w:t xml:space="preserve">(1) </w:t>
      </w:r>
      <w:proofErr w:type="spellStart"/>
      <w:r>
        <w:t>Datenschutz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Grundrecht</w:t>
      </w:r>
      <w:proofErr w:type="spellEnd"/>
    </w:p>
    <w:p w14:paraId="1429BAD1" w14:textId="77777777" w:rsidR="00E47560" w:rsidRDefault="00E47560" w:rsidP="00E47560">
      <w:pPr>
        <w:pStyle w:val="KeinLeerraum"/>
      </w:pPr>
      <w:r>
        <w:t xml:space="preserve">(2) </w:t>
      </w:r>
      <w:proofErr w:type="spellStart"/>
      <w:r>
        <w:t>Wahrung</w:t>
      </w:r>
      <w:proofErr w:type="spellEnd"/>
      <w:r>
        <w:t xml:space="preserve"> der </w:t>
      </w:r>
      <w:proofErr w:type="spellStart"/>
      <w:r>
        <w:t>Grundrechte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Datenverarbeitung</w:t>
      </w:r>
      <w:proofErr w:type="spellEnd"/>
    </w:p>
    <w:p w14:paraId="1FF0A2DE" w14:textId="77777777" w:rsidR="00E47560" w:rsidRDefault="00E47560" w:rsidP="00E47560">
      <w:pPr>
        <w:pStyle w:val="KeinLeerraum"/>
      </w:pPr>
      <w:r>
        <w:t xml:space="preserve">(3) </w:t>
      </w:r>
      <w:proofErr w:type="spellStart"/>
      <w:r>
        <w:t>Harmonisierung</w:t>
      </w:r>
      <w:proofErr w:type="spellEnd"/>
      <w:r>
        <w:t xml:space="preserve"> der </w:t>
      </w:r>
      <w:proofErr w:type="spellStart"/>
      <w:r>
        <w:t>Datenschutz</w:t>
      </w:r>
      <w:proofErr w:type="spellEnd"/>
      <w:r>
        <w:t xml:space="preserve">- </w:t>
      </w:r>
      <w:proofErr w:type="spellStart"/>
      <w:r>
        <w:t>Vorschriften</w:t>
      </w:r>
      <w:proofErr w:type="spellEnd"/>
    </w:p>
    <w:p w14:paraId="6DA4E84D" w14:textId="77777777" w:rsidR="00E47560" w:rsidRDefault="00E47560" w:rsidP="00E47560">
      <w:pPr>
        <w:pStyle w:val="KeinLeerraum"/>
      </w:pPr>
      <w:r>
        <w:t xml:space="preserve">(4) </w:t>
      </w:r>
      <w:proofErr w:type="spellStart"/>
      <w:r>
        <w:t>Datenschutz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Kontext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 </w:t>
      </w:r>
      <w:proofErr w:type="spellStart"/>
      <w:r>
        <w:t>Rechte</w:t>
      </w:r>
      <w:proofErr w:type="spellEnd"/>
    </w:p>
    <w:p w14:paraId="6A70C104" w14:textId="77777777" w:rsidR="00E47560" w:rsidRDefault="00E47560" w:rsidP="00E47560">
      <w:pPr>
        <w:pStyle w:val="KeinLeerraum"/>
      </w:pPr>
      <w:r>
        <w:t xml:space="preserve">(5) </w:t>
      </w:r>
      <w:proofErr w:type="spellStart"/>
      <w:r>
        <w:t>Erleichterung</w:t>
      </w:r>
      <w:proofErr w:type="spellEnd"/>
      <w:r>
        <w:t xml:space="preserve"> der </w:t>
      </w:r>
      <w:proofErr w:type="spellStart"/>
      <w:r>
        <w:t>Datenübermittlung</w:t>
      </w:r>
      <w:proofErr w:type="spellEnd"/>
      <w:r>
        <w:t xml:space="preserve"> und </w:t>
      </w:r>
      <w:proofErr w:type="spellStart"/>
      <w:r>
        <w:t>Erhöhung</w:t>
      </w:r>
      <w:proofErr w:type="spellEnd"/>
      <w:r>
        <w:t xml:space="preserve"> des </w:t>
      </w:r>
      <w:proofErr w:type="spellStart"/>
      <w:r>
        <w:t>Datenschutzes</w:t>
      </w:r>
      <w:proofErr w:type="spellEnd"/>
    </w:p>
    <w:p w14:paraId="02A997CA" w14:textId="77777777" w:rsidR="00E47560" w:rsidRDefault="00E47560" w:rsidP="00E47560">
      <w:pPr>
        <w:pStyle w:val="KeinLeerraum"/>
      </w:pPr>
      <w:r>
        <w:t xml:space="preserve">(6) </w:t>
      </w:r>
      <w:proofErr w:type="spellStart"/>
      <w:r>
        <w:t>Gewährleistung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Datenschutzniveaus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rascher</w:t>
      </w:r>
      <w:proofErr w:type="spellEnd"/>
      <w:r>
        <w:t xml:space="preserve"> </w:t>
      </w:r>
      <w:proofErr w:type="spellStart"/>
      <w:r>
        <w:t>Entwicklungen</w:t>
      </w:r>
      <w:proofErr w:type="spellEnd"/>
      <w:r>
        <w:t xml:space="preserve"> und </w:t>
      </w:r>
      <w:proofErr w:type="spellStart"/>
      <w:r>
        <w:t>hohem</w:t>
      </w:r>
      <w:proofErr w:type="spellEnd"/>
      <w:r>
        <w:t xml:space="preserve"> </w:t>
      </w:r>
      <w:proofErr w:type="spellStart"/>
      <w:r>
        <w:t>Ausmaß</w:t>
      </w:r>
      <w:proofErr w:type="spellEnd"/>
      <w:r>
        <w:t xml:space="preserve"> an </w:t>
      </w:r>
      <w:proofErr w:type="spellStart"/>
      <w:r>
        <w:t>Erhebungen</w:t>
      </w:r>
      <w:proofErr w:type="spellEnd"/>
    </w:p>
    <w:p w14:paraId="3F30D1FC" w14:textId="77777777" w:rsidR="00E47560" w:rsidRDefault="00E47560" w:rsidP="00E47560">
      <w:pPr>
        <w:pStyle w:val="KeinLeerraum"/>
      </w:pPr>
      <w:r>
        <w:t xml:space="preserve">(7) </w:t>
      </w:r>
      <w:proofErr w:type="spellStart"/>
      <w:r>
        <w:t>Vertrauensbasis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Kontrolle</w:t>
      </w:r>
      <w:proofErr w:type="spellEnd"/>
      <w:r>
        <w:t xml:space="preserve"> und </w:t>
      </w:r>
      <w:proofErr w:type="spellStart"/>
      <w:r>
        <w:t>Sicherheit</w:t>
      </w:r>
      <w:proofErr w:type="spellEnd"/>
    </w:p>
    <w:p w14:paraId="4EF493D4" w14:textId="77777777" w:rsidR="00E47560" w:rsidRDefault="00E47560" w:rsidP="00E47560">
      <w:pPr>
        <w:pStyle w:val="KeinLeerraum"/>
      </w:pPr>
      <w:r>
        <w:t xml:space="preserve">(8) </w:t>
      </w:r>
      <w:proofErr w:type="spellStart"/>
      <w:r>
        <w:t>Aufnahme</w:t>
      </w:r>
      <w:proofErr w:type="spellEnd"/>
      <w:r>
        <w:t xml:space="preserve"> in </w:t>
      </w:r>
      <w:proofErr w:type="spellStart"/>
      <w:r>
        <w:t>nationales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der </w:t>
      </w:r>
      <w:proofErr w:type="spellStart"/>
      <w:r>
        <w:t>Mitgliedsstaaten</w:t>
      </w:r>
      <w:proofErr w:type="spellEnd"/>
    </w:p>
    <w:p w14:paraId="17D81059" w14:textId="77777777" w:rsidR="00E47560" w:rsidRDefault="00E47560" w:rsidP="00E47560">
      <w:pPr>
        <w:pStyle w:val="KeinLeerraum"/>
      </w:pPr>
      <w:r>
        <w:t xml:space="preserve">(9) </w:t>
      </w:r>
      <w:proofErr w:type="spellStart"/>
      <w:r>
        <w:t>Behinderung</w:t>
      </w:r>
      <w:proofErr w:type="spellEnd"/>
      <w:r>
        <w:t xml:space="preserve"> des </w:t>
      </w:r>
      <w:proofErr w:type="spellStart"/>
      <w:r>
        <w:t>Verkehrs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unterschiedliche</w:t>
      </w:r>
      <w:proofErr w:type="spellEnd"/>
      <w:r>
        <w:t xml:space="preserve"> </w:t>
      </w:r>
      <w:proofErr w:type="spellStart"/>
      <w:r>
        <w:t>Schutzstandards</w:t>
      </w:r>
      <w:proofErr w:type="spellEnd"/>
    </w:p>
    <w:p w14:paraId="56F7E220" w14:textId="77777777" w:rsidR="00E47560" w:rsidRDefault="00E47560" w:rsidP="00E47560">
      <w:pPr>
        <w:pStyle w:val="KeinLeerraum"/>
      </w:pPr>
      <w:r>
        <w:t xml:space="preserve">(10)  </w:t>
      </w:r>
      <w:proofErr w:type="spellStart"/>
      <w:r>
        <w:t>Gleichwertigkeit</w:t>
      </w:r>
      <w:proofErr w:type="spellEnd"/>
      <w:r>
        <w:t xml:space="preserve"> des </w:t>
      </w:r>
      <w:proofErr w:type="spellStart"/>
      <w:r>
        <w:t>Schutzes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Datenverarbeitung</w:t>
      </w:r>
      <w:proofErr w:type="spellEnd"/>
    </w:p>
    <w:p w14:paraId="7EAABD83" w14:textId="77777777" w:rsidR="00E47560" w:rsidRDefault="00E47560" w:rsidP="00E47560">
      <w:pPr>
        <w:pStyle w:val="KeinLeerraum"/>
      </w:pPr>
      <w:r>
        <w:t xml:space="preserve">(11) </w:t>
      </w:r>
      <w:proofErr w:type="spellStart"/>
      <w:r>
        <w:t>Einheitliche</w:t>
      </w:r>
      <w:proofErr w:type="spellEnd"/>
      <w:r>
        <w:t xml:space="preserve"> </w:t>
      </w:r>
      <w:proofErr w:type="spellStart"/>
      <w:r>
        <w:t>Befugnisse</w:t>
      </w:r>
      <w:proofErr w:type="spellEnd"/>
      <w:r>
        <w:t xml:space="preserve"> und </w:t>
      </w:r>
      <w:proofErr w:type="spellStart"/>
      <w:r>
        <w:t>Sanktionen</w:t>
      </w:r>
      <w:proofErr w:type="spellEnd"/>
    </w:p>
    <w:p w14:paraId="77354D43" w14:textId="77777777" w:rsidR="00E47560" w:rsidRDefault="00E47560" w:rsidP="00E47560">
      <w:pPr>
        <w:pStyle w:val="KeinLeerraum"/>
      </w:pPr>
      <w:r>
        <w:t xml:space="preserve">(12) </w:t>
      </w:r>
      <w:proofErr w:type="spellStart"/>
      <w:r>
        <w:t>Ermächtigungen</w:t>
      </w:r>
      <w:proofErr w:type="spellEnd"/>
      <w:r>
        <w:t xml:space="preserve">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Parlaments</w:t>
      </w:r>
      <w:proofErr w:type="spellEnd"/>
      <w:r>
        <w:t xml:space="preserve"> und des Rates</w:t>
      </w:r>
    </w:p>
    <w:p w14:paraId="52E1FB26" w14:textId="77777777" w:rsidR="00E47560" w:rsidRDefault="00E47560" w:rsidP="00E47560">
      <w:pPr>
        <w:pStyle w:val="KeinLeerraum"/>
      </w:pPr>
      <w:r>
        <w:t xml:space="preserve">(13) </w:t>
      </w:r>
      <w:proofErr w:type="spellStart"/>
      <w:r>
        <w:t>Berücksichtigung</w:t>
      </w:r>
      <w:proofErr w:type="spellEnd"/>
      <w:r>
        <w:t xml:space="preserve"> der </w:t>
      </w:r>
      <w:proofErr w:type="spellStart"/>
      <w:r>
        <w:t>Unternehmensgröße</w:t>
      </w:r>
      <w:proofErr w:type="spellEnd"/>
    </w:p>
    <w:p w14:paraId="426CCBBA" w14:textId="77777777" w:rsidR="00E47560" w:rsidRDefault="00E47560" w:rsidP="00E47560">
      <w:pPr>
        <w:pStyle w:val="KeinLeerraum"/>
      </w:pPr>
      <w:r>
        <w:t xml:space="preserve">(14) </w:t>
      </w:r>
      <w:proofErr w:type="spellStart"/>
      <w:r>
        <w:t>Verordnung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auf </w:t>
      </w:r>
      <w:proofErr w:type="spellStart"/>
      <w:r>
        <w:t>juristische</w:t>
      </w:r>
      <w:proofErr w:type="spellEnd"/>
      <w:r>
        <w:t xml:space="preserve"> </w:t>
      </w:r>
      <w:proofErr w:type="spellStart"/>
      <w:r>
        <w:t>Personen</w:t>
      </w:r>
      <w:proofErr w:type="spellEnd"/>
    </w:p>
    <w:p w14:paraId="62D08020" w14:textId="77777777" w:rsidR="00E47560" w:rsidRDefault="00E47560" w:rsidP="00E47560">
      <w:pPr>
        <w:pStyle w:val="KeinLeerraum"/>
      </w:pPr>
      <w:r>
        <w:t xml:space="preserve">(15) </w:t>
      </w:r>
      <w:proofErr w:type="spellStart"/>
      <w:r>
        <w:t>Technologieneutraler</w:t>
      </w:r>
      <w:proofErr w:type="spellEnd"/>
      <w:r>
        <w:t xml:space="preserve"> Schutz</w:t>
      </w:r>
    </w:p>
    <w:p w14:paraId="73D0387E" w14:textId="77777777" w:rsidR="00E47560" w:rsidRDefault="00E47560" w:rsidP="00E47560">
      <w:pPr>
        <w:pStyle w:val="KeinLeerraum"/>
      </w:pPr>
      <w:r>
        <w:t xml:space="preserve">(16)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</w:t>
      </w:r>
      <w:proofErr w:type="spellStart"/>
      <w:r>
        <w:t>Unionstätigkeiten</w:t>
      </w:r>
      <w:proofErr w:type="spellEnd"/>
    </w:p>
    <w:p w14:paraId="1614370E" w14:textId="77777777" w:rsidR="00E47560" w:rsidRDefault="00E47560" w:rsidP="00E47560">
      <w:pPr>
        <w:pStyle w:val="KeinLeerraum"/>
      </w:pPr>
      <w:r>
        <w:t xml:space="preserve">(17) </w:t>
      </w:r>
      <w:proofErr w:type="spellStart"/>
      <w:r>
        <w:t>Anpassung</w:t>
      </w:r>
      <w:proofErr w:type="spellEnd"/>
      <w:r>
        <w:t xml:space="preserve"> der </w:t>
      </w:r>
      <w:proofErr w:type="spellStart"/>
      <w:r>
        <w:t>Verordnung</w:t>
      </w:r>
      <w:proofErr w:type="spellEnd"/>
      <w:r>
        <w:t xml:space="preserve"> 45/2001</w:t>
      </w:r>
    </w:p>
    <w:p w14:paraId="2090E28A" w14:textId="77777777" w:rsidR="00E47560" w:rsidRDefault="00E47560" w:rsidP="00E47560">
      <w:pPr>
        <w:pStyle w:val="KeinLeerraum"/>
      </w:pPr>
      <w:r>
        <w:t xml:space="preserve">(18)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privaten</w:t>
      </w:r>
      <w:proofErr w:type="spellEnd"/>
      <w:r>
        <w:t xml:space="preserve"> </w:t>
      </w:r>
      <w:proofErr w:type="spellStart"/>
      <w:r>
        <w:t>Bereich</w:t>
      </w:r>
      <w:proofErr w:type="spellEnd"/>
    </w:p>
    <w:p w14:paraId="714F826D" w14:textId="77777777" w:rsidR="00E47560" w:rsidRDefault="00E47560" w:rsidP="00E47560">
      <w:pPr>
        <w:pStyle w:val="KeinLeerraum"/>
      </w:pPr>
      <w:r>
        <w:t xml:space="preserve">(19)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Straftataufdeckung</w:t>
      </w:r>
      <w:proofErr w:type="spellEnd"/>
    </w:p>
    <w:p w14:paraId="124B7594" w14:textId="77777777" w:rsidR="00E47560" w:rsidRDefault="00E47560" w:rsidP="00E47560">
      <w:pPr>
        <w:pStyle w:val="KeinLeerraum"/>
      </w:pPr>
      <w:r>
        <w:t xml:space="preserve">(20) </w:t>
      </w:r>
      <w:proofErr w:type="spellStart"/>
      <w:r>
        <w:t>Unabhängigkeit</w:t>
      </w:r>
      <w:proofErr w:type="spellEnd"/>
      <w:r>
        <w:t xml:space="preserve"> der </w:t>
      </w:r>
      <w:proofErr w:type="spellStart"/>
      <w:r>
        <w:t>Justiz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unangetastet</w:t>
      </w:r>
      <w:proofErr w:type="spellEnd"/>
      <w:r>
        <w:t xml:space="preserve"> </w:t>
      </w:r>
      <w:proofErr w:type="spellStart"/>
      <w:r>
        <w:t>bleiben</w:t>
      </w:r>
      <w:proofErr w:type="spellEnd"/>
    </w:p>
    <w:p w14:paraId="73EA6A7B" w14:textId="77777777" w:rsidR="00E47560" w:rsidRDefault="00E47560" w:rsidP="00E47560">
      <w:pPr>
        <w:pStyle w:val="KeinLeerraum"/>
      </w:pPr>
      <w:r>
        <w:t xml:space="preserve">(21) </w:t>
      </w:r>
      <w:proofErr w:type="spellStart"/>
      <w:r>
        <w:t>Verantwortlichkeit</w:t>
      </w:r>
      <w:proofErr w:type="spellEnd"/>
      <w:r>
        <w:t xml:space="preserve"> von </w:t>
      </w:r>
      <w:proofErr w:type="spellStart"/>
      <w:r>
        <w:t>Anbietern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unberührt</w:t>
      </w:r>
      <w:proofErr w:type="spellEnd"/>
    </w:p>
    <w:p w14:paraId="0303E7F9" w14:textId="77777777" w:rsidR="00E47560" w:rsidRDefault="00E47560" w:rsidP="00E47560">
      <w:pPr>
        <w:pStyle w:val="KeinLeerraum"/>
      </w:pPr>
      <w:r>
        <w:t xml:space="preserve">(22) </w:t>
      </w:r>
      <w:proofErr w:type="spellStart"/>
      <w:r>
        <w:t>Niederlassung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ausschlaggebend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Ort der </w:t>
      </w:r>
      <w:proofErr w:type="spellStart"/>
      <w:r>
        <w:t>Datenverarbeitung</w:t>
      </w:r>
      <w:proofErr w:type="spellEnd"/>
    </w:p>
    <w:p w14:paraId="47E6F587" w14:textId="77777777" w:rsidR="00E47560" w:rsidRDefault="00E47560" w:rsidP="00E47560">
      <w:pPr>
        <w:pStyle w:val="KeinLeerraum"/>
      </w:pPr>
      <w:r>
        <w:t xml:space="preserve">(23) </w:t>
      </w:r>
      <w:proofErr w:type="spellStart"/>
      <w:r>
        <w:t>Ansässigkeit</w:t>
      </w:r>
      <w:proofErr w:type="spellEnd"/>
      <w:r>
        <w:t xml:space="preserve"> des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entscheidet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der </w:t>
      </w:r>
      <w:proofErr w:type="spellStart"/>
      <w:r>
        <w:t>Verordnung</w:t>
      </w:r>
      <w:proofErr w:type="spellEnd"/>
    </w:p>
    <w:p w14:paraId="02660D1F" w14:textId="77777777" w:rsidR="00E47560" w:rsidRDefault="00E47560" w:rsidP="00E47560">
      <w:pPr>
        <w:pStyle w:val="KeinLeerraum"/>
      </w:pPr>
      <w:r>
        <w:t xml:space="preserve">(24)  </w:t>
      </w:r>
      <w:proofErr w:type="spellStart"/>
      <w:r>
        <w:t>Anwendung</w:t>
      </w:r>
      <w:proofErr w:type="spellEnd"/>
      <w:r>
        <w:t xml:space="preserve"> der </w:t>
      </w:r>
      <w:proofErr w:type="spellStart"/>
      <w:r>
        <w:t>Verordnung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Beobachtung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Person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der EU </w:t>
      </w:r>
      <w:proofErr w:type="spellStart"/>
      <w:r>
        <w:t>niedergelassenen</w:t>
      </w:r>
      <w:proofErr w:type="spellEnd"/>
      <w:r>
        <w:t xml:space="preserve"> </w:t>
      </w:r>
      <w:proofErr w:type="spellStart"/>
      <w:r>
        <w:t>Verantwortlichen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Auftragsverarbeiter</w:t>
      </w:r>
      <w:proofErr w:type="spellEnd"/>
    </w:p>
    <w:p w14:paraId="201216E9" w14:textId="77777777" w:rsidR="00E47560" w:rsidRDefault="00E47560" w:rsidP="00E47560">
      <w:pPr>
        <w:pStyle w:val="KeinLeerraum"/>
      </w:pPr>
      <w:r>
        <w:t xml:space="preserve">(25) </w:t>
      </w:r>
      <w:proofErr w:type="spellStart"/>
      <w:r>
        <w:t>Voraussetzung</w:t>
      </w:r>
      <w:proofErr w:type="spellEnd"/>
      <w:r>
        <w:t xml:space="preserve"> der </w:t>
      </w:r>
      <w:proofErr w:type="spellStart"/>
      <w:r>
        <w:t>Anwendung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Mitgliedstaat</w:t>
      </w:r>
      <w:proofErr w:type="spellEnd"/>
    </w:p>
    <w:p w14:paraId="7105A868" w14:textId="77777777" w:rsidR="00E47560" w:rsidRDefault="00E47560" w:rsidP="00E47560">
      <w:pPr>
        <w:pStyle w:val="KeinLeerraum"/>
      </w:pPr>
      <w:r>
        <w:t xml:space="preserve">(26) </w:t>
      </w:r>
      <w:proofErr w:type="spellStart"/>
      <w:r>
        <w:t>Grundsätze</w:t>
      </w:r>
      <w:proofErr w:type="spellEnd"/>
      <w:r>
        <w:t xml:space="preserve"> des </w:t>
      </w:r>
      <w:proofErr w:type="spellStart"/>
      <w:r>
        <w:t>Datenschutzes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anonymisierte</w:t>
      </w:r>
      <w:proofErr w:type="spellEnd"/>
      <w:r>
        <w:t xml:space="preserve"> </w:t>
      </w:r>
      <w:proofErr w:type="spellStart"/>
      <w:r>
        <w:t>Informationen</w:t>
      </w:r>
      <w:proofErr w:type="spellEnd"/>
    </w:p>
    <w:p w14:paraId="011AA4BB" w14:textId="77777777" w:rsidR="00E47560" w:rsidRDefault="00E47560" w:rsidP="00E47560">
      <w:pPr>
        <w:pStyle w:val="KeinLeerraum"/>
      </w:pPr>
      <w:r>
        <w:t xml:space="preserve">(27)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Verstorbenen</w:t>
      </w:r>
      <w:proofErr w:type="spellEnd"/>
    </w:p>
    <w:p w14:paraId="762E52A7" w14:textId="77777777" w:rsidR="00E47560" w:rsidRDefault="00E47560" w:rsidP="00E47560">
      <w:pPr>
        <w:pStyle w:val="KeinLeerraum"/>
      </w:pPr>
      <w:r>
        <w:t xml:space="preserve">(28) </w:t>
      </w:r>
      <w:proofErr w:type="spellStart"/>
      <w:r>
        <w:t>Risikosenkung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Pseudonymisierung</w:t>
      </w:r>
      <w:proofErr w:type="spellEnd"/>
    </w:p>
    <w:p w14:paraId="6A25BDC3" w14:textId="77777777" w:rsidR="00E47560" w:rsidRDefault="00E47560" w:rsidP="00E47560">
      <w:pPr>
        <w:pStyle w:val="KeinLeerraum"/>
      </w:pPr>
      <w:r>
        <w:t xml:space="preserve">(29) </w:t>
      </w:r>
      <w:proofErr w:type="spellStart"/>
      <w:r>
        <w:t>Pseudonymisierungsmaßnahmen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demselben</w:t>
      </w:r>
      <w:proofErr w:type="spellEnd"/>
      <w:r>
        <w:t xml:space="preserve"> </w:t>
      </w:r>
      <w:proofErr w:type="spellStart"/>
      <w:r>
        <w:t>Verantwortlichen</w:t>
      </w:r>
      <w:proofErr w:type="spellEnd"/>
    </w:p>
    <w:p w14:paraId="44EDD933" w14:textId="77777777" w:rsidR="00E47560" w:rsidRDefault="00E47560" w:rsidP="00E47560">
      <w:pPr>
        <w:pStyle w:val="KeinLeerraum"/>
      </w:pPr>
      <w:r>
        <w:t>(30) Online-</w:t>
      </w:r>
      <w:proofErr w:type="spellStart"/>
      <w:r>
        <w:t>Kennungen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Erstellung</w:t>
      </w:r>
      <w:proofErr w:type="spellEnd"/>
      <w:r>
        <w:t xml:space="preserve"> von </w:t>
      </w:r>
      <w:proofErr w:type="spellStart"/>
      <w:r>
        <w:t>Profilen</w:t>
      </w:r>
      <w:proofErr w:type="spellEnd"/>
    </w:p>
    <w:p w14:paraId="73B260ED" w14:textId="77777777" w:rsidR="00E47560" w:rsidRDefault="00E47560" w:rsidP="00E47560">
      <w:pPr>
        <w:pStyle w:val="KeinLeerraum"/>
      </w:pPr>
      <w:r>
        <w:lastRenderedPageBreak/>
        <w:t xml:space="preserve">(31)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auf </w:t>
      </w:r>
      <w:proofErr w:type="spellStart"/>
      <w:r>
        <w:t>Behörden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Ausübung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offiziellen</w:t>
      </w:r>
      <w:proofErr w:type="spellEnd"/>
      <w:r>
        <w:t xml:space="preserve"> </w:t>
      </w:r>
      <w:proofErr w:type="spellStart"/>
      <w:r>
        <w:t>Auftrages</w:t>
      </w:r>
      <w:proofErr w:type="spellEnd"/>
    </w:p>
    <w:p w14:paraId="1D3D576A" w14:textId="77777777" w:rsidR="00E47560" w:rsidRDefault="00E47560" w:rsidP="00E47560">
      <w:pPr>
        <w:pStyle w:val="KeinLeerraum"/>
      </w:pPr>
      <w:r>
        <w:t xml:space="preserve">(32) </w:t>
      </w:r>
      <w:proofErr w:type="spellStart"/>
      <w:r>
        <w:t>Einwilligung</w:t>
      </w:r>
      <w:proofErr w:type="spellEnd"/>
    </w:p>
    <w:p w14:paraId="554F45F6" w14:textId="77777777" w:rsidR="00E47560" w:rsidRDefault="00E47560" w:rsidP="00E47560">
      <w:pPr>
        <w:pStyle w:val="KeinLeerraum"/>
      </w:pPr>
      <w:r>
        <w:t xml:space="preserve">(33)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wissenschaftlichen</w:t>
      </w:r>
      <w:proofErr w:type="spellEnd"/>
      <w:r>
        <w:t xml:space="preserve"> </w:t>
      </w:r>
      <w:proofErr w:type="spellStart"/>
      <w:r>
        <w:t>Forschung</w:t>
      </w:r>
      <w:proofErr w:type="spellEnd"/>
    </w:p>
    <w:p w14:paraId="5D3BE102" w14:textId="77777777" w:rsidR="00E47560" w:rsidRDefault="00E47560" w:rsidP="00E47560">
      <w:pPr>
        <w:pStyle w:val="KeinLeerraum"/>
      </w:pPr>
      <w:r>
        <w:t xml:space="preserve">(34) </w:t>
      </w:r>
      <w:proofErr w:type="spellStart"/>
      <w:r>
        <w:t>Genetische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</w:p>
    <w:p w14:paraId="5D33E01E" w14:textId="77777777" w:rsidR="00E47560" w:rsidRDefault="00E47560" w:rsidP="00E47560">
      <w:pPr>
        <w:pStyle w:val="KeinLeerraum"/>
      </w:pPr>
      <w:r>
        <w:t xml:space="preserve">(35)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Gesundheitsdaten</w:t>
      </w:r>
      <w:proofErr w:type="spellEnd"/>
    </w:p>
    <w:p w14:paraId="2A29C94C" w14:textId="77777777" w:rsidR="00E47560" w:rsidRDefault="00E47560" w:rsidP="00E47560">
      <w:pPr>
        <w:pStyle w:val="KeinLeerraum"/>
      </w:pPr>
      <w:r>
        <w:t xml:space="preserve">(36) </w:t>
      </w:r>
      <w:proofErr w:type="spellStart"/>
      <w:r>
        <w:t>Bestimmung</w:t>
      </w:r>
      <w:proofErr w:type="spellEnd"/>
      <w:r>
        <w:t xml:space="preserve"> der </w:t>
      </w:r>
      <w:proofErr w:type="spellStart"/>
      <w:r>
        <w:t>Hauptniederlassung</w:t>
      </w:r>
      <w:proofErr w:type="spellEnd"/>
    </w:p>
    <w:p w14:paraId="201C3FC1" w14:textId="77777777" w:rsidR="00E47560" w:rsidRDefault="00E47560" w:rsidP="00E47560">
      <w:pPr>
        <w:pStyle w:val="KeinLeerraum"/>
      </w:pPr>
      <w:r>
        <w:t xml:space="preserve">(37) </w:t>
      </w:r>
      <w:proofErr w:type="spellStart"/>
      <w:r>
        <w:t>Voraussetzung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Unternehmensgruppe</w:t>
      </w:r>
      <w:proofErr w:type="spellEnd"/>
    </w:p>
    <w:p w14:paraId="76C68C1A" w14:textId="77777777" w:rsidR="00E47560" w:rsidRDefault="00E47560" w:rsidP="00E47560">
      <w:pPr>
        <w:pStyle w:val="KeinLeerraum"/>
      </w:pPr>
      <w:r>
        <w:t xml:space="preserve">(38) </w:t>
      </w:r>
      <w:proofErr w:type="spellStart"/>
      <w:r>
        <w:t>Besonderer</w:t>
      </w:r>
      <w:proofErr w:type="spellEnd"/>
      <w:r>
        <w:t xml:space="preserve"> Schutz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von </w:t>
      </w:r>
      <w:proofErr w:type="spellStart"/>
      <w:r>
        <w:t>Kindern</w:t>
      </w:r>
      <w:proofErr w:type="spellEnd"/>
    </w:p>
    <w:p w14:paraId="39F9BC1B" w14:textId="77777777" w:rsidR="00E47560" w:rsidRDefault="00E47560" w:rsidP="00E47560">
      <w:pPr>
        <w:pStyle w:val="KeinLeerraum"/>
      </w:pPr>
      <w:r>
        <w:t xml:space="preserve">(39) </w:t>
      </w:r>
      <w:proofErr w:type="spellStart"/>
      <w:r>
        <w:t>Anforderungen</w:t>
      </w:r>
      <w:proofErr w:type="spellEnd"/>
      <w:r>
        <w:t xml:space="preserve"> an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</w:p>
    <w:p w14:paraId="3CB2189F" w14:textId="77777777" w:rsidR="00E47560" w:rsidRDefault="00E47560" w:rsidP="00E47560">
      <w:pPr>
        <w:pStyle w:val="KeinLeerraum"/>
      </w:pPr>
      <w:r>
        <w:t xml:space="preserve">(40) </w:t>
      </w:r>
      <w:proofErr w:type="spellStart"/>
      <w:r>
        <w:t>Rechtmäßigkeit</w:t>
      </w:r>
      <w:proofErr w:type="spellEnd"/>
      <w:r>
        <w:t xml:space="preserve"> der </w:t>
      </w:r>
      <w:proofErr w:type="spellStart"/>
      <w:r>
        <w:t>Verarbeitung</w:t>
      </w:r>
      <w:proofErr w:type="spellEnd"/>
    </w:p>
    <w:p w14:paraId="17676A2D" w14:textId="77777777" w:rsidR="00E47560" w:rsidRDefault="00E47560" w:rsidP="00E47560">
      <w:pPr>
        <w:pStyle w:val="KeinLeerraum"/>
      </w:pPr>
      <w:r>
        <w:t xml:space="preserve">(41) </w:t>
      </w:r>
      <w:proofErr w:type="spellStart"/>
      <w:r>
        <w:t>Bezugnahme</w:t>
      </w:r>
      <w:proofErr w:type="spellEnd"/>
      <w:r>
        <w:t xml:space="preserve"> auf </w:t>
      </w:r>
      <w:proofErr w:type="spellStart"/>
      <w:r>
        <w:t>Rechtsgrundlage</w:t>
      </w:r>
      <w:proofErr w:type="spellEnd"/>
      <w:r>
        <w:t xml:space="preserve"> </w:t>
      </w:r>
      <w:proofErr w:type="spellStart"/>
      <w:r>
        <w:t>erfordert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Gesetzgebungsakt</w:t>
      </w:r>
      <w:proofErr w:type="spellEnd"/>
    </w:p>
    <w:p w14:paraId="7560EEBA" w14:textId="77777777" w:rsidR="00E47560" w:rsidRDefault="00E47560" w:rsidP="00E47560">
      <w:pPr>
        <w:pStyle w:val="KeinLeerraum"/>
      </w:pPr>
      <w:r>
        <w:t xml:space="preserve">(42) </w:t>
      </w:r>
      <w:proofErr w:type="spellStart"/>
      <w:r>
        <w:t>Nachweis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Einwilligung</w:t>
      </w:r>
      <w:proofErr w:type="spellEnd"/>
    </w:p>
    <w:p w14:paraId="22B3401F" w14:textId="77777777" w:rsidR="00E47560" w:rsidRDefault="00E47560" w:rsidP="00E47560">
      <w:pPr>
        <w:pStyle w:val="KeinLeerraum"/>
      </w:pPr>
      <w:r>
        <w:t xml:space="preserve">(43)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Freiwilligkeit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Ungleichgewicht</w:t>
      </w:r>
      <w:proofErr w:type="spellEnd"/>
    </w:p>
    <w:p w14:paraId="51AFA420" w14:textId="77777777" w:rsidR="00E47560" w:rsidRDefault="00E47560" w:rsidP="00E47560">
      <w:pPr>
        <w:pStyle w:val="KeinLeerraum"/>
      </w:pPr>
      <w:r>
        <w:t xml:space="preserve">(44) </w:t>
      </w:r>
      <w:proofErr w:type="spellStart"/>
      <w:r>
        <w:t>Rechtmäßigkeit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Erforderlichkeit</w:t>
      </w:r>
      <w:proofErr w:type="spellEnd"/>
      <w:r>
        <w:t xml:space="preserve"> </w:t>
      </w:r>
      <w:proofErr w:type="spellStart"/>
      <w:r>
        <w:t>gegeben</w:t>
      </w:r>
      <w:proofErr w:type="spellEnd"/>
    </w:p>
    <w:p w14:paraId="5A3848AC" w14:textId="77777777" w:rsidR="00E47560" w:rsidRDefault="00E47560" w:rsidP="00E47560">
      <w:pPr>
        <w:pStyle w:val="KeinLeerraum"/>
      </w:pPr>
      <w:r>
        <w:t xml:space="preserve">(45) </w:t>
      </w:r>
      <w:proofErr w:type="spellStart"/>
      <w:r>
        <w:t>Rechtsgrundlage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erforderlich</w:t>
      </w:r>
      <w:proofErr w:type="spellEnd"/>
    </w:p>
    <w:p w14:paraId="3C48E1A6" w14:textId="77777777" w:rsidR="00E47560" w:rsidRDefault="00E47560" w:rsidP="00E47560">
      <w:pPr>
        <w:pStyle w:val="KeinLeerraum"/>
      </w:pPr>
      <w:r>
        <w:t xml:space="preserve">(46) </w:t>
      </w:r>
      <w:proofErr w:type="spellStart"/>
      <w:r>
        <w:t>Rechtmäßigkeit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Schutz des Lebens</w:t>
      </w:r>
    </w:p>
    <w:p w14:paraId="53057E1C" w14:textId="77777777" w:rsidR="00E47560" w:rsidRDefault="00E47560" w:rsidP="00E47560">
      <w:pPr>
        <w:pStyle w:val="KeinLeerraum"/>
      </w:pPr>
      <w:r>
        <w:t xml:space="preserve">(47) </w:t>
      </w:r>
      <w:proofErr w:type="spellStart"/>
      <w:r>
        <w:t>Rechtmäßigkeit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Interessenabwägung</w:t>
      </w:r>
      <w:proofErr w:type="spellEnd"/>
    </w:p>
    <w:p w14:paraId="14C3EC17" w14:textId="77777777" w:rsidR="00E47560" w:rsidRDefault="00E47560" w:rsidP="00E47560">
      <w:pPr>
        <w:pStyle w:val="KeinLeerraum"/>
      </w:pPr>
      <w:r>
        <w:t xml:space="preserve">(48) </w:t>
      </w:r>
      <w:proofErr w:type="spellStart"/>
      <w:r>
        <w:t>Berechtigtes</w:t>
      </w:r>
      <w:proofErr w:type="spellEnd"/>
      <w:r>
        <w:t xml:space="preserve"> Interesse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Unternehmensgruppe</w:t>
      </w:r>
      <w:proofErr w:type="spellEnd"/>
    </w:p>
    <w:p w14:paraId="3B44E1C2" w14:textId="77777777" w:rsidR="00E47560" w:rsidRDefault="00E47560" w:rsidP="00E47560">
      <w:pPr>
        <w:pStyle w:val="KeinLeerraum"/>
      </w:pPr>
      <w:r>
        <w:t xml:space="preserve">(49) </w:t>
      </w:r>
      <w:proofErr w:type="spellStart"/>
      <w:r>
        <w:t>Notwendigkeit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berechtigtes</w:t>
      </w:r>
      <w:proofErr w:type="spellEnd"/>
      <w:r>
        <w:t xml:space="preserve"> Interesse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Behörden</w:t>
      </w:r>
      <w:proofErr w:type="spellEnd"/>
    </w:p>
    <w:p w14:paraId="5C959A2E" w14:textId="77777777" w:rsidR="00E47560" w:rsidRDefault="00E47560" w:rsidP="00E47560">
      <w:pPr>
        <w:pStyle w:val="KeinLeerraum"/>
      </w:pPr>
      <w:r>
        <w:t xml:space="preserve">(50) </w:t>
      </w:r>
      <w:proofErr w:type="spellStart"/>
      <w:r>
        <w:t>Erweiterte</w:t>
      </w:r>
      <w:proofErr w:type="spellEnd"/>
      <w:r>
        <w:t xml:space="preserve"> und </w:t>
      </w:r>
      <w:proofErr w:type="spellStart"/>
      <w:r>
        <w:t>vereinbare</w:t>
      </w:r>
      <w:proofErr w:type="spellEnd"/>
      <w:r>
        <w:t xml:space="preserve"> </w:t>
      </w:r>
      <w:proofErr w:type="spellStart"/>
      <w:r>
        <w:t>Zwecke</w:t>
      </w:r>
      <w:proofErr w:type="spellEnd"/>
    </w:p>
    <w:p w14:paraId="7248B438" w14:textId="77777777" w:rsidR="00E47560" w:rsidRDefault="00E47560" w:rsidP="00E47560">
      <w:pPr>
        <w:pStyle w:val="KeinLeerraum"/>
      </w:pPr>
      <w:r>
        <w:t xml:space="preserve">(51) </w:t>
      </w:r>
      <w:proofErr w:type="spellStart"/>
      <w:r>
        <w:t>Besonderer</w:t>
      </w:r>
      <w:proofErr w:type="spellEnd"/>
      <w:r>
        <w:t xml:space="preserve"> Schutz </w:t>
      </w:r>
      <w:proofErr w:type="spellStart"/>
      <w:r>
        <w:t>für</w:t>
      </w:r>
      <w:proofErr w:type="spellEnd"/>
      <w:r>
        <w:t xml:space="preserve"> sensible </w:t>
      </w:r>
      <w:proofErr w:type="spellStart"/>
      <w:r>
        <w:t>Daten</w:t>
      </w:r>
      <w:proofErr w:type="spellEnd"/>
    </w:p>
    <w:p w14:paraId="6A36BC8E" w14:textId="77777777" w:rsidR="00E47560" w:rsidRDefault="00E47560" w:rsidP="00E47560">
      <w:pPr>
        <w:pStyle w:val="KeinLeerraum"/>
      </w:pPr>
      <w:r>
        <w:t xml:space="preserve">(52) </w:t>
      </w:r>
      <w:proofErr w:type="spellStart"/>
      <w:r>
        <w:t>Ausnahmen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Verbot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besonderer</w:t>
      </w:r>
      <w:proofErr w:type="spellEnd"/>
      <w:r>
        <w:t xml:space="preserve"> </w:t>
      </w:r>
      <w:proofErr w:type="spellStart"/>
      <w:r>
        <w:t>Kategorien</w:t>
      </w:r>
      <w:proofErr w:type="spellEnd"/>
    </w:p>
    <w:p w14:paraId="50EC894C" w14:textId="77777777" w:rsidR="00E47560" w:rsidRDefault="00E47560" w:rsidP="00E47560">
      <w:pPr>
        <w:pStyle w:val="KeinLeerraum"/>
      </w:pPr>
      <w:r>
        <w:t xml:space="preserve">(53)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Kategorien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gesundheitsbezogene</w:t>
      </w:r>
      <w:proofErr w:type="spellEnd"/>
      <w:r>
        <w:t xml:space="preserve"> </w:t>
      </w:r>
      <w:proofErr w:type="spellStart"/>
      <w:r>
        <w:t>Zwecke</w:t>
      </w:r>
      <w:proofErr w:type="spellEnd"/>
    </w:p>
    <w:p w14:paraId="1D5C102A" w14:textId="77777777" w:rsidR="00E47560" w:rsidRDefault="00E47560" w:rsidP="00E47560">
      <w:pPr>
        <w:pStyle w:val="KeinLeerraum"/>
      </w:pPr>
      <w:r>
        <w:t xml:space="preserve">(54)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der “</w:t>
      </w:r>
      <w:proofErr w:type="spellStart"/>
      <w:r>
        <w:t>öffentlichen</w:t>
      </w:r>
      <w:proofErr w:type="spellEnd"/>
      <w:r>
        <w:t xml:space="preserve"> Gesundheit”</w:t>
      </w:r>
    </w:p>
    <w:p w14:paraId="6FE4CFC8" w14:textId="77777777" w:rsidR="00E47560" w:rsidRDefault="00E47560" w:rsidP="00E47560">
      <w:pPr>
        <w:pStyle w:val="KeinLeerraum"/>
      </w:pPr>
      <w:r>
        <w:t xml:space="preserve">(55)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staatliche</w:t>
      </w:r>
      <w:proofErr w:type="spellEnd"/>
      <w:r>
        <w:t xml:space="preserve"> Stelle gilt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öffentliches</w:t>
      </w:r>
      <w:proofErr w:type="spellEnd"/>
      <w:r>
        <w:t xml:space="preserve"> Interesse</w:t>
      </w:r>
    </w:p>
    <w:p w14:paraId="38041229" w14:textId="77777777" w:rsidR="00E47560" w:rsidRDefault="00E47560" w:rsidP="00E47560">
      <w:pPr>
        <w:pStyle w:val="KeinLeerraum"/>
      </w:pPr>
      <w:r>
        <w:t xml:space="preserve">(56)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politische</w:t>
      </w:r>
      <w:proofErr w:type="spellEnd"/>
      <w:r>
        <w:t xml:space="preserve"> </w:t>
      </w:r>
      <w:proofErr w:type="spellStart"/>
      <w:r>
        <w:t>Einstellung</w:t>
      </w:r>
      <w:proofErr w:type="spellEnd"/>
    </w:p>
    <w:p w14:paraId="0F3974F5" w14:textId="77777777" w:rsidR="00E47560" w:rsidRDefault="00E47560" w:rsidP="00E47560">
      <w:pPr>
        <w:pStyle w:val="KeinLeerraum"/>
      </w:pPr>
      <w:r>
        <w:t xml:space="preserve">(57) </w:t>
      </w:r>
      <w:proofErr w:type="spellStart"/>
      <w:r>
        <w:t>Einholung</w:t>
      </w:r>
      <w:proofErr w:type="spellEnd"/>
      <w:r>
        <w:t xml:space="preserve"> </w:t>
      </w:r>
      <w:proofErr w:type="spellStart"/>
      <w:r>
        <w:t>zusätzlicher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Person</w:t>
      </w:r>
    </w:p>
    <w:p w14:paraId="2A48881D" w14:textId="77777777" w:rsidR="00E47560" w:rsidRDefault="00E47560" w:rsidP="00E47560">
      <w:pPr>
        <w:pStyle w:val="KeinLeerraum"/>
      </w:pPr>
      <w:r>
        <w:t xml:space="preserve">(58) </w:t>
      </w:r>
      <w:proofErr w:type="spellStart"/>
      <w:r>
        <w:t>Grundsatz</w:t>
      </w:r>
      <w:proofErr w:type="spellEnd"/>
      <w:r>
        <w:t xml:space="preserve"> der </w:t>
      </w:r>
      <w:proofErr w:type="spellStart"/>
      <w:r>
        <w:t>Transparenz</w:t>
      </w:r>
      <w:proofErr w:type="spellEnd"/>
    </w:p>
    <w:p w14:paraId="3B9A8159" w14:textId="77777777" w:rsidR="00E47560" w:rsidRDefault="00E47560" w:rsidP="00E47560">
      <w:pPr>
        <w:pStyle w:val="KeinLeerraum"/>
      </w:pPr>
      <w:r>
        <w:t xml:space="preserve">(59) </w:t>
      </w:r>
      <w:proofErr w:type="spellStart"/>
      <w:r>
        <w:t>Modalitäten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Vereinfachung</w:t>
      </w:r>
      <w:proofErr w:type="spellEnd"/>
      <w:r>
        <w:t xml:space="preserve"> der </w:t>
      </w:r>
      <w:proofErr w:type="spellStart"/>
      <w:r>
        <w:t>Ausübung</w:t>
      </w:r>
      <w:proofErr w:type="spellEnd"/>
      <w:r>
        <w:t xml:space="preserve"> von </w:t>
      </w:r>
      <w:proofErr w:type="spellStart"/>
      <w:r>
        <w:t>Betroffenenrechten</w:t>
      </w:r>
      <w:proofErr w:type="spellEnd"/>
    </w:p>
    <w:p w14:paraId="316111BE" w14:textId="77777777" w:rsidR="00E47560" w:rsidRDefault="00E47560" w:rsidP="00E47560">
      <w:pPr>
        <w:pStyle w:val="KeinLeerraum"/>
      </w:pPr>
      <w:r>
        <w:t xml:space="preserve">(60) </w:t>
      </w:r>
      <w:proofErr w:type="spellStart"/>
      <w:r>
        <w:t>Informationspflicht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Betroffenem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Datenverarbeitung</w:t>
      </w:r>
      <w:proofErr w:type="spellEnd"/>
    </w:p>
    <w:p w14:paraId="73F27AC4" w14:textId="77777777" w:rsidR="00E47560" w:rsidRDefault="00E47560" w:rsidP="00E47560">
      <w:pPr>
        <w:pStyle w:val="KeinLeerraum"/>
      </w:pPr>
      <w:r>
        <w:t xml:space="preserve">(61) </w:t>
      </w:r>
      <w:proofErr w:type="spellStart"/>
      <w:r>
        <w:t>Unterrichtung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Erheben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Frist</w:t>
      </w:r>
    </w:p>
    <w:p w14:paraId="385C9BC1" w14:textId="77777777" w:rsidR="00E47560" w:rsidRDefault="00E47560" w:rsidP="00E47560">
      <w:pPr>
        <w:pStyle w:val="KeinLeerraum"/>
      </w:pPr>
      <w:r>
        <w:t xml:space="preserve">(62) </w:t>
      </w:r>
      <w:proofErr w:type="spellStart"/>
      <w:r>
        <w:t>Wegfall</w:t>
      </w:r>
      <w:proofErr w:type="spellEnd"/>
      <w:r>
        <w:t xml:space="preserve"> der </w:t>
      </w:r>
      <w:proofErr w:type="spellStart"/>
      <w:r>
        <w:t>Pflicht</w:t>
      </w:r>
      <w:proofErr w:type="spellEnd"/>
    </w:p>
    <w:p w14:paraId="53CFF9FA" w14:textId="77777777" w:rsidR="00E47560" w:rsidRDefault="00E47560" w:rsidP="00E47560">
      <w:pPr>
        <w:pStyle w:val="KeinLeerraum"/>
      </w:pPr>
      <w:r>
        <w:t xml:space="preserve">(63) </w:t>
      </w:r>
      <w:proofErr w:type="spellStart"/>
      <w:r>
        <w:t>Auskunftsrecht</w:t>
      </w:r>
      <w:proofErr w:type="spellEnd"/>
    </w:p>
    <w:p w14:paraId="6CB5D4DE" w14:textId="77777777" w:rsidR="00E47560" w:rsidRDefault="00E47560" w:rsidP="00E47560">
      <w:pPr>
        <w:pStyle w:val="KeinLeerraum"/>
      </w:pPr>
      <w:r>
        <w:t xml:space="preserve">(64) </w:t>
      </w:r>
      <w:proofErr w:type="spellStart"/>
      <w:r>
        <w:t>Überprüfung</w:t>
      </w:r>
      <w:proofErr w:type="spellEnd"/>
      <w:r>
        <w:t xml:space="preserve"> der </w:t>
      </w:r>
      <w:proofErr w:type="spellStart"/>
      <w:r>
        <w:t>Identität</w:t>
      </w:r>
      <w:proofErr w:type="spellEnd"/>
    </w:p>
    <w:p w14:paraId="16B43BD1" w14:textId="77777777" w:rsidR="00E47560" w:rsidRDefault="00E47560" w:rsidP="00E47560">
      <w:pPr>
        <w:pStyle w:val="KeinLeerraum"/>
      </w:pPr>
      <w:r>
        <w:t xml:space="preserve">(65)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Berichtigung</w:t>
      </w:r>
      <w:proofErr w:type="spellEnd"/>
      <w:r>
        <w:t xml:space="preserve">/ </w:t>
      </w:r>
      <w:proofErr w:type="spellStart"/>
      <w:r>
        <w:t>Löschung</w:t>
      </w:r>
      <w:proofErr w:type="spellEnd"/>
    </w:p>
    <w:p w14:paraId="1B677B73" w14:textId="77777777" w:rsidR="00E47560" w:rsidRDefault="00E47560" w:rsidP="00E47560">
      <w:pPr>
        <w:pStyle w:val="KeinLeerraum"/>
      </w:pPr>
      <w:r>
        <w:t xml:space="preserve">(66) </w:t>
      </w:r>
      <w:proofErr w:type="spellStart"/>
      <w:r>
        <w:t>Recht</w:t>
      </w:r>
      <w:proofErr w:type="spellEnd"/>
      <w:r>
        <w:t xml:space="preserve"> auf </w:t>
      </w:r>
      <w:proofErr w:type="spellStart"/>
      <w:r>
        <w:t>Vergessenwerden</w:t>
      </w:r>
      <w:proofErr w:type="spellEnd"/>
    </w:p>
    <w:p w14:paraId="6BF798EE" w14:textId="77777777" w:rsidR="00E47560" w:rsidRDefault="00E47560" w:rsidP="00E47560">
      <w:pPr>
        <w:pStyle w:val="KeinLeerraum"/>
      </w:pPr>
      <w:r>
        <w:t xml:space="preserve">(67) </w:t>
      </w:r>
      <w:proofErr w:type="spellStart"/>
      <w:r>
        <w:t>Sperrung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unklarer</w:t>
      </w:r>
      <w:proofErr w:type="spellEnd"/>
      <w:r>
        <w:t xml:space="preserve"> </w:t>
      </w:r>
      <w:proofErr w:type="spellStart"/>
      <w:r>
        <w:t>Datenlage</w:t>
      </w:r>
      <w:proofErr w:type="spellEnd"/>
    </w:p>
    <w:p w14:paraId="14B2DE78" w14:textId="77777777" w:rsidR="00E47560" w:rsidRDefault="00E47560" w:rsidP="00E47560">
      <w:pPr>
        <w:pStyle w:val="KeinLeerraum"/>
      </w:pPr>
      <w:r>
        <w:t xml:space="preserve">(68) </w:t>
      </w:r>
      <w:proofErr w:type="spellStart"/>
      <w:r>
        <w:t>Anspruch</w:t>
      </w:r>
      <w:proofErr w:type="spellEnd"/>
      <w:r>
        <w:t xml:space="preserve"> auf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elektronischer</w:t>
      </w:r>
      <w:proofErr w:type="spellEnd"/>
      <w:r>
        <w:t xml:space="preserve"> </w:t>
      </w:r>
      <w:proofErr w:type="spellStart"/>
      <w:r>
        <w:t>Datenverarbeitung</w:t>
      </w:r>
      <w:proofErr w:type="spellEnd"/>
    </w:p>
    <w:p w14:paraId="2D0D6CC0" w14:textId="77777777" w:rsidR="00E47560" w:rsidRDefault="00E47560" w:rsidP="00E47560">
      <w:pPr>
        <w:pStyle w:val="KeinLeerraum"/>
      </w:pPr>
      <w:r>
        <w:t xml:space="preserve">(69) </w:t>
      </w:r>
      <w:proofErr w:type="spellStart"/>
      <w:r>
        <w:t>Widerspruchsrecht</w:t>
      </w:r>
      <w:proofErr w:type="spellEnd"/>
    </w:p>
    <w:p w14:paraId="7711BC57" w14:textId="77777777" w:rsidR="00E47560" w:rsidRDefault="00E47560" w:rsidP="00E47560">
      <w:pPr>
        <w:pStyle w:val="KeinLeerraum"/>
      </w:pPr>
      <w:r>
        <w:t xml:space="preserve">(70) </w:t>
      </w:r>
      <w:proofErr w:type="spellStart"/>
      <w:r>
        <w:t>Widerspruchsrecht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Direktwerbung</w:t>
      </w:r>
      <w:proofErr w:type="spellEnd"/>
    </w:p>
    <w:p w14:paraId="7E735774" w14:textId="77777777" w:rsidR="00E47560" w:rsidRDefault="00E47560" w:rsidP="00E47560">
      <w:pPr>
        <w:pStyle w:val="KeinLeerraum"/>
      </w:pPr>
      <w:r>
        <w:t xml:space="preserve">(71)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Zwang</w:t>
      </w:r>
      <w:proofErr w:type="spellEnd"/>
      <w:r>
        <w:t xml:space="preserve"> der </w:t>
      </w:r>
      <w:proofErr w:type="spellStart"/>
      <w:r>
        <w:t>Unterwerfung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auf Profiling </w:t>
      </w:r>
      <w:proofErr w:type="spellStart"/>
      <w:r>
        <w:t>basierenden</w:t>
      </w:r>
      <w:proofErr w:type="spellEnd"/>
      <w:r>
        <w:t xml:space="preserve"> </w:t>
      </w:r>
      <w:proofErr w:type="spellStart"/>
      <w:r>
        <w:t>Maßnahmen</w:t>
      </w:r>
      <w:proofErr w:type="spellEnd"/>
    </w:p>
    <w:p w14:paraId="29EEF51A" w14:textId="77777777" w:rsidR="00E47560" w:rsidRDefault="00E47560" w:rsidP="00E47560">
      <w:pPr>
        <w:pStyle w:val="KeinLeerraum"/>
      </w:pPr>
      <w:r>
        <w:t xml:space="preserve">(72) Profiling </w:t>
      </w:r>
      <w:proofErr w:type="spellStart"/>
      <w:r>
        <w:t>unterliegt</w:t>
      </w:r>
      <w:proofErr w:type="spellEnd"/>
      <w:r>
        <w:t xml:space="preserve"> der </w:t>
      </w:r>
      <w:proofErr w:type="spellStart"/>
      <w:r>
        <w:t>Verordnung</w:t>
      </w:r>
      <w:proofErr w:type="spellEnd"/>
    </w:p>
    <w:p w14:paraId="4F3DB8F1" w14:textId="77777777" w:rsidR="00E47560" w:rsidRDefault="00E47560" w:rsidP="00E47560">
      <w:pPr>
        <w:pStyle w:val="KeinLeerraum"/>
      </w:pPr>
      <w:r>
        <w:t xml:space="preserve">(73) </w:t>
      </w:r>
      <w:proofErr w:type="spellStart"/>
      <w:r>
        <w:t>Beschränkungen</w:t>
      </w:r>
      <w:proofErr w:type="spellEnd"/>
      <w:r>
        <w:t xml:space="preserve"> von </w:t>
      </w:r>
      <w:proofErr w:type="spellStart"/>
      <w:r>
        <w:t>Grundsätzen</w:t>
      </w:r>
      <w:proofErr w:type="spellEnd"/>
      <w:r>
        <w:t xml:space="preserve"> und </w:t>
      </w:r>
      <w:proofErr w:type="spellStart"/>
      <w:r>
        <w:t>Rechten</w:t>
      </w:r>
      <w:proofErr w:type="spellEnd"/>
    </w:p>
    <w:p w14:paraId="0DECCEDE" w14:textId="77777777" w:rsidR="00E47560" w:rsidRDefault="00E47560" w:rsidP="00E47560">
      <w:pPr>
        <w:pStyle w:val="KeinLeerraum"/>
      </w:pPr>
      <w:r>
        <w:t xml:space="preserve">(74) </w:t>
      </w:r>
      <w:proofErr w:type="spellStart"/>
      <w:r>
        <w:t>Haftung</w:t>
      </w:r>
      <w:proofErr w:type="spellEnd"/>
      <w:r>
        <w:t xml:space="preserve"> des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Verantwortlichen</w:t>
      </w:r>
      <w:proofErr w:type="spellEnd"/>
    </w:p>
    <w:p w14:paraId="50C8E1E8" w14:textId="77777777" w:rsidR="00E47560" w:rsidRDefault="00E47560" w:rsidP="00E47560">
      <w:pPr>
        <w:pStyle w:val="KeinLeerraum"/>
      </w:pPr>
      <w:r>
        <w:t xml:space="preserve">(75) </w:t>
      </w:r>
      <w:proofErr w:type="spellStart"/>
      <w:r>
        <w:t>Risiken</w:t>
      </w:r>
      <w:proofErr w:type="spellEnd"/>
      <w:r>
        <w:t xml:space="preserve"> der </w:t>
      </w:r>
      <w:proofErr w:type="spellStart"/>
      <w:r>
        <w:t>Rechte</w:t>
      </w:r>
      <w:proofErr w:type="spellEnd"/>
      <w:r>
        <w:t xml:space="preserve"> und </w:t>
      </w:r>
      <w:proofErr w:type="spellStart"/>
      <w:r>
        <w:t>Freiheiten</w:t>
      </w:r>
      <w:proofErr w:type="spellEnd"/>
      <w:r>
        <w:t xml:space="preserve"> von </w:t>
      </w:r>
      <w:proofErr w:type="spellStart"/>
      <w:r>
        <w:t>natürlichen</w:t>
      </w:r>
      <w:proofErr w:type="spellEnd"/>
      <w:r>
        <w:t xml:space="preserve"> </w:t>
      </w:r>
      <w:proofErr w:type="spellStart"/>
      <w:r>
        <w:t>Personen</w:t>
      </w:r>
      <w:proofErr w:type="spellEnd"/>
    </w:p>
    <w:p w14:paraId="458F5128" w14:textId="77777777" w:rsidR="00E47560" w:rsidRDefault="00E47560" w:rsidP="00E47560">
      <w:pPr>
        <w:pStyle w:val="KeinLeerraum"/>
      </w:pPr>
      <w:r>
        <w:t xml:space="preserve">(76) </w:t>
      </w:r>
      <w:proofErr w:type="spellStart"/>
      <w:r>
        <w:t>Bestimmung</w:t>
      </w:r>
      <w:proofErr w:type="spellEnd"/>
      <w:r>
        <w:t xml:space="preserve"> der </w:t>
      </w:r>
      <w:proofErr w:type="spellStart"/>
      <w:r>
        <w:t>Risiko-Eintrittswahrscheinlichkeit</w:t>
      </w:r>
      <w:proofErr w:type="spellEnd"/>
    </w:p>
    <w:p w14:paraId="26293723" w14:textId="77777777" w:rsidR="00E47560" w:rsidRDefault="00E47560" w:rsidP="00E47560">
      <w:pPr>
        <w:pStyle w:val="KeinLeerraum"/>
      </w:pPr>
      <w:r>
        <w:t xml:space="preserve">(77) </w:t>
      </w:r>
      <w:proofErr w:type="spellStart"/>
      <w:r>
        <w:t>Anleitung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Ermittlung</w:t>
      </w:r>
      <w:proofErr w:type="spellEnd"/>
      <w:r>
        <w:t xml:space="preserve"> des </w:t>
      </w:r>
      <w:proofErr w:type="spellStart"/>
      <w:r>
        <w:t>Risikos</w:t>
      </w:r>
      <w:proofErr w:type="spellEnd"/>
    </w:p>
    <w:p w14:paraId="1634F7C2" w14:textId="77777777" w:rsidR="00E47560" w:rsidRDefault="00E47560" w:rsidP="00E47560">
      <w:pPr>
        <w:pStyle w:val="KeinLeerraum"/>
      </w:pPr>
      <w:r>
        <w:t xml:space="preserve">(78) </w:t>
      </w:r>
      <w:proofErr w:type="spellStart"/>
      <w:r>
        <w:t>Geeignete</w:t>
      </w:r>
      <w:proofErr w:type="spellEnd"/>
      <w:r>
        <w:t xml:space="preserve"> </w:t>
      </w:r>
      <w:proofErr w:type="spellStart"/>
      <w:r>
        <w:t>technische</w:t>
      </w:r>
      <w:proofErr w:type="spellEnd"/>
      <w:r>
        <w:t xml:space="preserve"> und </w:t>
      </w:r>
      <w:proofErr w:type="spellStart"/>
      <w:r>
        <w:t>organisatorische</w:t>
      </w:r>
      <w:proofErr w:type="spellEnd"/>
      <w:r>
        <w:t xml:space="preserve"> </w:t>
      </w:r>
      <w:proofErr w:type="spellStart"/>
      <w:r>
        <w:t>Maßnahmen</w:t>
      </w:r>
      <w:proofErr w:type="spellEnd"/>
    </w:p>
    <w:p w14:paraId="0911903E" w14:textId="77777777" w:rsidR="00E47560" w:rsidRDefault="00E47560" w:rsidP="00E47560">
      <w:pPr>
        <w:pStyle w:val="KeinLeerraum"/>
      </w:pPr>
      <w:r>
        <w:t xml:space="preserve">(79) </w:t>
      </w:r>
      <w:proofErr w:type="spellStart"/>
      <w:r>
        <w:t>Zuteilung</w:t>
      </w:r>
      <w:proofErr w:type="spellEnd"/>
      <w:r>
        <w:t xml:space="preserve"> der </w:t>
      </w:r>
      <w:proofErr w:type="spellStart"/>
      <w:r>
        <w:t>Verantwortlichkeit</w:t>
      </w:r>
      <w:proofErr w:type="spellEnd"/>
    </w:p>
    <w:p w14:paraId="01D747EF" w14:textId="77777777" w:rsidR="00E47560" w:rsidRDefault="00E47560" w:rsidP="00E47560">
      <w:pPr>
        <w:pStyle w:val="KeinLeerraum"/>
      </w:pPr>
      <w:r>
        <w:t xml:space="preserve">(80) </w:t>
      </w:r>
      <w:proofErr w:type="spellStart"/>
      <w:r>
        <w:t>Benennung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Vertreters</w:t>
      </w:r>
      <w:proofErr w:type="spellEnd"/>
    </w:p>
    <w:p w14:paraId="3AEF5226" w14:textId="77777777" w:rsidR="00E47560" w:rsidRDefault="00E47560" w:rsidP="00E47560">
      <w:pPr>
        <w:pStyle w:val="KeinLeerraum"/>
      </w:pPr>
      <w:r>
        <w:t xml:space="preserve">(81) </w:t>
      </w:r>
      <w:proofErr w:type="spellStart"/>
      <w:r>
        <w:t>Heranziehen</w:t>
      </w:r>
      <w:proofErr w:type="spellEnd"/>
      <w:r>
        <w:t xml:space="preserve"> von </w:t>
      </w:r>
      <w:proofErr w:type="spellStart"/>
      <w:r>
        <w:t>Auftragsverarbeitern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hinreichenden</w:t>
      </w:r>
      <w:proofErr w:type="spellEnd"/>
      <w:r>
        <w:t xml:space="preserve"> </w:t>
      </w:r>
      <w:proofErr w:type="spellStart"/>
      <w:r>
        <w:t>Garantien</w:t>
      </w:r>
      <w:proofErr w:type="spellEnd"/>
    </w:p>
    <w:p w14:paraId="0A2F49BC" w14:textId="77777777" w:rsidR="00E47560" w:rsidRDefault="00E47560" w:rsidP="00E47560">
      <w:pPr>
        <w:pStyle w:val="KeinLeerraum"/>
      </w:pPr>
      <w:r>
        <w:t xml:space="preserve">(82) </w:t>
      </w:r>
      <w:proofErr w:type="spellStart"/>
      <w:r>
        <w:t>Verzeichnis</w:t>
      </w:r>
      <w:proofErr w:type="spellEnd"/>
      <w:r>
        <w:t xml:space="preserve"> der </w:t>
      </w:r>
      <w:proofErr w:type="spellStart"/>
      <w:r>
        <w:t>Verarbeitungstätigkeiten</w:t>
      </w:r>
      <w:proofErr w:type="spellEnd"/>
    </w:p>
    <w:p w14:paraId="532C782E" w14:textId="77777777" w:rsidR="00E47560" w:rsidRDefault="00E47560" w:rsidP="00E47560">
      <w:pPr>
        <w:pStyle w:val="KeinLeerraum"/>
      </w:pPr>
      <w:r>
        <w:t xml:space="preserve">(83) </w:t>
      </w:r>
      <w:proofErr w:type="spellStart"/>
      <w:r>
        <w:t>Risikoermittlung</w:t>
      </w:r>
      <w:proofErr w:type="spellEnd"/>
      <w:r>
        <w:t xml:space="preserve"> und </w:t>
      </w:r>
      <w:proofErr w:type="spellStart"/>
      <w:r>
        <w:t>Gewährleistung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Schutzniveaus</w:t>
      </w:r>
      <w:proofErr w:type="spellEnd"/>
    </w:p>
    <w:p w14:paraId="6C0B501B" w14:textId="77777777" w:rsidR="00E47560" w:rsidRDefault="00E47560" w:rsidP="00E47560">
      <w:pPr>
        <w:pStyle w:val="KeinLeerraum"/>
      </w:pPr>
      <w:r>
        <w:t xml:space="preserve">(84)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Durchführung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Datenschutz-Folgenabschätzung</w:t>
      </w:r>
      <w:proofErr w:type="spellEnd"/>
    </w:p>
    <w:p w14:paraId="090CFC05" w14:textId="77777777" w:rsidR="00E47560" w:rsidRDefault="00E47560" w:rsidP="00E47560">
      <w:pPr>
        <w:pStyle w:val="KeinLeerraum"/>
      </w:pPr>
      <w:r>
        <w:t xml:space="preserve">(85) </w:t>
      </w:r>
      <w:proofErr w:type="spellStart"/>
      <w:r>
        <w:t>Meldepflicht</w:t>
      </w:r>
      <w:proofErr w:type="spellEnd"/>
      <w:r>
        <w:t xml:space="preserve"> und </w:t>
      </w:r>
      <w:proofErr w:type="spellStart"/>
      <w:r>
        <w:t>Benachrichtigung</w:t>
      </w:r>
      <w:proofErr w:type="spellEnd"/>
      <w:r>
        <w:t xml:space="preserve"> von </w:t>
      </w:r>
      <w:proofErr w:type="spellStart"/>
      <w:r>
        <w:t>Verletzungen</w:t>
      </w:r>
      <w:proofErr w:type="spellEnd"/>
    </w:p>
    <w:p w14:paraId="522D07FC" w14:textId="77777777" w:rsidR="00E47560" w:rsidRDefault="00E47560" w:rsidP="00E47560">
      <w:pPr>
        <w:pStyle w:val="KeinLeerraum"/>
      </w:pPr>
      <w:r>
        <w:t xml:space="preserve">(86) </w:t>
      </w:r>
      <w:proofErr w:type="spellStart"/>
      <w:r>
        <w:t>Benachrichtigung</w:t>
      </w:r>
      <w:proofErr w:type="spellEnd"/>
      <w:r>
        <w:t xml:space="preserve"> der </w:t>
      </w:r>
      <w:proofErr w:type="spellStart"/>
      <w:r>
        <w:t>verletzten</w:t>
      </w:r>
      <w:proofErr w:type="spellEnd"/>
      <w:r>
        <w:t xml:space="preserve"> </w:t>
      </w:r>
      <w:proofErr w:type="spellStart"/>
      <w:r>
        <w:t>Betroffenen</w:t>
      </w:r>
      <w:proofErr w:type="spellEnd"/>
    </w:p>
    <w:p w14:paraId="249822EB" w14:textId="77777777" w:rsidR="00E47560" w:rsidRDefault="00E47560" w:rsidP="00E47560">
      <w:pPr>
        <w:pStyle w:val="KeinLeerraum"/>
      </w:pPr>
      <w:r>
        <w:t xml:space="preserve">(87) </w:t>
      </w:r>
      <w:proofErr w:type="spellStart"/>
      <w:r>
        <w:t>Sofortige</w:t>
      </w:r>
      <w:proofErr w:type="spellEnd"/>
      <w:r>
        <w:t xml:space="preserve"> </w:t>
      </w:r>
      <w:proofErr w:type="spellStart"/>
      <w:r>
        <w:t>Feststellung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Verletzung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</w:p>
    <w:p w14:paraId="7B805913" w14:textId="77777777" w:rsidR="00E47560" w:rsidRDefault="00E47560" w:rsidP="00E47560">
      <w:pPr>
        <w:pStyle w:val="KeinLeerraum"/>
      </w:pPr>
      <w:r>
        <w:t xml:space="preserve">(88) Format und </w:t>
      </w:r>
      <w:proofErr w:type="spellStart"/>
      <w:r>
        <w:t>Verfahren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Meldung</w:t>
      </w:r>
      <w:proofErr w:type="spellEnd"/>
      <w:r>
        <w:t xml:space="preserve"> von </w:t>
      </w:r>
      <w:proofErr w:type="spellStart"/>
      <w:r>
        <w:t>Verletzungen</w:t>
      </w:r>
      <w:proofErr w:type="spellEnd"/>
    </w:p>
    <w:p w14:paraId="05E62797" w14:textId="77777777" w:rsidR="00E47560" w:rsidRDefault="00E47560" w:rsidP="00E47560">
      <w:pPr>
        <w:pStyle w:val="KeinLeerraum"/>
      </w:pPr>
      <w:r>
        <w:lastRenderedPageBreak/>
        <w:t xml:space="preserve">(89) </w:t>
      </w:r>
      <w:proofErr w:type="spellStart"/>
      <w:r>
        <w:t>Abschaffung</w:t>
      </w:r>
      <w:proofErr w:type="spellEnd"/>
      <w:r>
        <w:t xml:space="preserve"> der </w:t>
      </w:r>
      <w:proofErr w:type="spellStart"/>
      <w:r>
        <w:t>Meldepflicht</w:t>
      </w:r>
      <w:proofErr w:type="spellEnd"/>
    </w:p>
    <w:p w14:paraId="69897EBB" w14:textId="77777777" w:rsidR="00E47560" w:rsidRDefault="00E47560" w:rsidP="00E47560">
      <w:pPr>
        <w:pStyle w:val="KeinLeerraum"/>
      </w:pPr>
      <w:r>
        <w:t xml:space="preserve">(90) </w:t>
      </w:r>
      <w:proofErr w:type="spellStart"/>
      <w:r>
        <w:t>Bewertung</w:t>
      </w:r>
      <w:proofErr w:type="spellEnd"/>
      <w:r>
        <w:t xml:space="preserve"> der </w:t>
      </w:r>
      <w:proofErr w:type="spellStart"/>
      <w:r>
        <w:t>Eintrittswahrscheinlichkeit</w:t>
      </w:r>
      <w:proofErr w:type="spellEnd"/>
      <w:r>
        <w:t xml:space="preserve"> des </w:t>
      </w:r>
      <w:proofErr w:type="spellStart"/>
      <w:r>
        <w:t>Risikos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Datenschutz-Folgenabschätzung</w:t>
      </w:r>
      <w:proofErr w:type="spellEnd"/>
    </w:p>
    <w:p w14:paraId="5ACFB296" w14:textId="77777777" w:rsidR="00E47560" w:rsidRDefault="00E47560" w:rsidP="00E47560">
      <w:pPr>
        <w:pStyle w:val="KeinLeerraum"/>
      </w:pPr>
      <w:r>
        <w:t xml:space="preserve">(91) </w:t>
      </w:r>
      <w:proofErr w:type="spellStart"/>
      <w:r>
        <w:t>Vorgänge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Begründung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Datenschutz-Folgenabschätzung</w:t>
      </w:r>
      <w:proofErr w:type="spellEnd"/>
    </w:p>
    <w:p w14:paraId="6D02F87C" w14:textId="77777777" w:rsidR="00E47560" w:rsidRDefault="00E47560" w:rsidP="00E47560">
      <w:pPr>
        <w:pStyle w:val="KeinLeerraum"/>
      </w:pPr>
      <w:r>
        <w:t xml:space="preserve">(92) </w:t>
      </w:r>
      <w:proofErr w:type="spellStart"/>
      <w:r>
        <w:t>Thematische</w:t>
      </w:r>
      <w:proofErr w:type="spellEnd"/>
      <w:r>
        <w:t xml:space="preserve"> </w:t>
      </w:r>
      <w:proofErr w:type="spellStart"/>
      <w:r>
        <w:t>Datenschutz-Folgenabschätzung</w:t>
      </w:r>
      <w:proofErr w:type="spellEnd"/>
    </w:p>
    <w:p w14:paraId="26039EA4" w14:textId="77777777" w:rsidR="00E47560" w:rsidRDefault="00E47560" w:rsidP="00E47560">
      <w:pPr>
        <w:pStyle w:val="KeinLeerraum"/>
      </w:pPr>
      <w:r>
        <w:t xml:space="preserve">(93) </w:t>
      </w:r>
      <w:proofErr w:type="spellStart"/>
      <w:r>
        <w:t>Datenschutz-Folgenabschätzung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Behörden</w:t>
      </w:r>
      <w:proofErr w:type="spellEnd"/>
    </w:p>
    <w:p w14:paraId="73E9BB23" w14:textId="77777777" w:rsidR="00E47560" w:rsidRDefault="00E47560" w:rsidP="00E47560">
      <w:pPr>
        <w:pStyle w:val="KeinLeerraum"/>
      </w:pPr>
      <w:r>
        <w:t xml:space="preserve">(94) </w:t>
      </w:r>
      <w:proofErr w:type="spellStart"/>
      <w:r>
        <w:t>Zurate</w:t>
      </w:r>
      <w:proofErr w:type="spellEnd"/>
      <w:r>
        <w:t xml:space="preserve"> </w:t>
      </w:r>
      <w:proofErr w:type="spellStart"/>
      <w:r>
        <w:t>ziehen</w:t>
      </w:r>
      <w:proofErr w:type="spellEnd"/>
      <w:r>
        <w:t xml:space="preserve"> der </w:t>
      </w:r>
      <w:proofErr w:type="spellStart"/>
      <w:r>
        <w:t>Aufsichtsbehörde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risikobehafteten</w:t>
      </w:r>
      <w:proofErr w:type="spellEnd"/>
      <w:r>
        <w:t xml:space="preserve"> </w:t>
      </w:r>
      <w:proofErr w:type="spellStart"/>
      <w:r>
        <w:t>Verarbeitungen</w:t>
      </w:r>
      <w:proofErr w:type="spellEnd"/>
    </w:p>
    <w:p w14:paraId="68BD2B71" w14:textId="77777777" w:rsidR="00E47560" w:rsidRDefault="00E47560" w:rsidP="00E47560">
      <w:pPr>
        <w:pStyle w:val="KeinLeerraum"/>
      </w:pPr>
      <w:r>
        <w:t xml:space="preserve">(95)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Auftragsverarbeiter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Datenschutz-Folgenabschätzung</w:t>
      </w:r>
      <w:proofErr w:type="spellEnd"/>
    </w:p>
    <w:p w14:paraId="3C388676" w14:textId="77777777" w:rsidR="00E47560" w:rsidRDefault="00E47560" w:rsidP="00E47560">
      <w:pPr>
        <w:pStyle w:val="KeinLeerraum"/>
      </w:pPr>
      <w:r>
        <w:t xml:space="preserve">(96) </w:t>
      </w:r>
      <w:proofErr w:type="spellStart"/>
      <w:r>
        <w:t>Konsultation</w:t>
      </w:r>
      <w:proofErr w:type="spellEnd"/>
      <w:r>
        <w:t xml:space="preserve"> der </w:t>
      </w:r>
      <w:proofErr w:type="spellStart"/>
      <w:r>
        <w:t>Aufsichtsbehörde</w:t>
      </w:r>
      <w:proofErr w:type="spellEnd"/>
    </w:p>
    <w:p w14:paraId="5F8B32BC" w14:textId="77777777" w:rsidR="00E47560" w:rsidRDefault="00E47560" w:rsidP="00E47560">
      <w:pPr>
        <w:pStyle w:val="KeinLeerraum"/>
      </w:pPr>
      <w:r>
        <w:t xml:space="preserve">(97)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weiteren</w:t>
      </w:r>
      <w:proofErr w:type="spellEnd"/>
      <w:r>
        <w:t xml:space="preserve"> Person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Behörde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privaten</w:t>
      </w:r>
      <w:proofErr w:type="spellEnd"/>
      <w:r>
        <w:t xml:space="preserve"> </w:t>
      </w:r>
      <w:proofErr w:type="spellStart"/>
      <w:r>
        <w:t>Sektor</w:t>
      </w:r>
      <w:proofErr w:type="spellEnd"/>
    </w:p>
    <w:p w14:paraId="7A263647" w14:textId="77777777" w:rsidR="00E47560" w:rsidRDefault="00E47560" w:rsidP="00E47560">
      <w:pPr>
        <w:pStyle w:val="KeinLeerraum"/>
      </w:pPr>
      <w:r>
        <w:t xml:space="preserve">(98) </w:t>
      </w:r>
      <w:proofErr w:type="spellStart"/>
      <w:r>
        <w:t>Erstellen</w:t>
      </w:r>
      <w:proofErr w:type="spellEnd"/>
      <w:r>
        <w:t xml:space="preserve"> von </w:t>
      </w:r>
      <w:proofErr w:type="spellStart"/>
      <w:r>
        <w:t>Verhaltensregeln</w:t>
      </w:r>
      <w:proofErr w:type="spellEnd"/>
    </w:p>
    <w:p w14:paraId="26FD35C9" w14:textId="77777777" w:rsidR="00E47560" w:rsidRDefault="00E47560" w:rsidP="00E47560">
      <w:pPr>
        <w:pStyle w:val="KeinLeerraum"/>
      </w:pPr>
      <w:r>
        <w:t xml:space="preserve">(99) </w:t>
      </w:r>
      <w:proofErr w:type="spellStart"/>
      <w:r>
        <w:t>Änderung</w:t>
      </w:r>
      <w:proofErr w:type="spellEnd"/>
      <w:r>
        <w:t xml:space="preserve"> der </w:t>
      </w:r>
      <w:proofErr w:type="spellStart"/>
      <w:r>
        <w:t>Verhaltensregeln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Verbände</w:t>
      </w:r>
      <w:proofErr w:type="spellEnd"/>
    </w:p>
    <w:p w14:paraId="5B051A63" w14:textId="77777777" w:rsidR="00E47560" w:rsidRDefault="00E47560" w:rsidP="00E47560">
      <w:pPr>
        <w:pStyle w:val="KeinLeerraum"/>
      </w:pPr>
      <w:r>
        <w:t xml:space="preserve">(100) </w:t>
      </w:r>
      <w:proofErr w:type="spellStart"/>
      <w:r>
        <w:t>Überblick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Datenschutzniveau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Zertifizierung</w:t>
      </w:r>
      <w:proofErr w:type="spellEnd"/>
    </w:p>
    <w:p w14:paraId="6DD234E8" w14:textId="77777777" w:rsidR="00E47560" w:rsidRDefault="00E47560" w:rsidP="00E47560">
      <w:pPr>
        <w:pStyle w:val="KeinLeerraum"/>
      </w:pPr>
      <w:r>
        <w:t xml:space="preserve">(101) </w:t>
      </w:r>
      <w:proofErr w:type="spellStart"/>
      <w:r>
        <w:t>Datenübermittlung</w:t>
      </w:r>
      <w:proofErr w:type="spellEnd"/>
      <w:r>
        <w:t xml:space="preserve"> an </w:t>
      </w:r>
      <w:proofErr w:type="spellStart"/>
      <w:r>
        <w:t>Drittländer</w:t>
      </w:r>
      <w:proofErr w:type="spellEnd"/>
    </w:p>
    <w:p w14:paraId="3444AC88" w14:textId="77777777" w:rsidR="00E47560" w:rsidRDefault="00E47560" w:rsidP="00E47560">
      <w:pPr>
        <w:pStyle w:val="KeinLeerraum"/>
      </w:pPr>
      <w:r>
        <w:t xml:space="preserve">(102)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Abkommen</w:t>
      </w:r>
      <w:proofErr w:type="spellEnd"/>
    </w:p>
    <w:p w14:paraId="499BA7CF" w14:textId="77777777" w:rsidR="00E47560" w:rsidRDefault="00E47560" w:rsidP="00E47560">
      <w:pPr>
        <w:pStyle w:val="KeinLeerraum"/>
      </w:pPr>
      <w:r>
        <w:t xml:space="preserve">(103) </w:t>
      </w:r>
      <w:proofErr w:type="spellStart"/>
      <w:r>
        <w:t>Angemessener</w:t>
      </w:r>
      <w:proofErr w:type="spellEnd"/>
      <w:r>
        <w:t xml:space="preserve"> </w:t>
      </w:r>
      <w:proofErr w:type="spellStart"/>
      <w:r>
        <w:t>Datenschutz</w:t>
      </w:r>
      <w:proofErr w:type="spellEnd"/>
      <w:r>
        <w:t xml:space="preserve"> von </w:t>
      </w:r>
      <w:proofErr w:type="spellStart"/>
      <w:r>
        <w:t>Drittländern</w:t>
      </w:r>
      <w:proofErr w:type="spellEnd"/>
    </w:p>
    <w:p w14:paraId="73819832" w14:textId="77777777" w:rsidR="00E47560" w:rsidRDefault="00E47560" w:rsidP="00E47560">
      <w:pPr>
        <w:pStyle w:val="KeinLeerraum"/>
      </w:pPr>
      <w:r>
        <w:t xml:space="preserve">(104) </w:t>
      </w:r>
      <w:proofErr w:type="spellStart"/>
      <w:r>
        <w:t>Kriterien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Angemessenheitsbeschlusses</w:t>
      </w:r>
      <w:proofErr w:type="spellEnd"/>
    </w:p>
    <w:p w14:paraId="4DB8BADD" w14:textId="77777777" w:rsidR="00E47560" w:rsidRDefault="00E47560" w:rsidP="00E47560">
      <w:pPr>
        <w:pStyle w:val="KeinLeerraum"/>
      </w:pPr>
      <w:r>
        <w:t xml:space="preserve">(105) </w:t>
      </w:r>
      <w:proofErr w:type="spellStart"/>
      <w:r>
        <w:t>Verpflichtungen</w:t>
      </w:r>
      <w:proofErr w:type="spellEnd"/>
      <w:r>
        <w:t xml:space="preserve"> der </w:t>
      </w:r>
      <w:proofErr w:type="spellStart"/>
      <w:r>
        <w:t>Kommission</w:t>
      </w:r>
      <w:proofErr w:type="spellEnd"/>
    </w:p>
    <w:p w14:paraId="42E57E23" w14:textId="77777777" w:rsidR="00E47560" w:rsidRDefault="00E47560" w:rsidP="00E47560">
      <w:pPr>
        <w:pStyle w:val="KeinLeerraum"/>
      </w:pPr>
      <w:r>
        <w:t xml:space="preserve">(106) </w:t>
      </w:r>
      <w:proofErr w:type="spellStart"/>
      <w:r>
        <w:t>Überwachung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Kommission</w:t>
      </w:r>
      <w:proofErr w:type="spellEnd"/>
    </w:p>
    <w:p w14:paraId="7924D3FC" w14:textId="77777777" w:rsidR="00E47560" w:rsidRDefault="00E47560" w:rsidP="00E47560">
      <w:pPr>
        <w:pStyle w:val="KeinLeerraum"/>
      </w:pPr>
      <w:r>
        <w:t xml:space="preserve">(107)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angemessener</w:t>
      </w:r>
      <w:proofErr w:type="spellEnd"/>
      <w:r>
        <w:t xml:space="preserve"> </w:t>
      </w:r>
      <w:proofErr w:type="spellStart"/>
      <w:r>
        <w:t>Datenschutz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Drittlandes</w:t>
      </w:r>
      <w:proofErr w:type="spellEnd"/>
    </w:p>
    <w:p w14:paraId="14E5717F" w14:textId="77777777" w:rsidR="00E47560" w:rsidRDefault="00E47560" w:rsidP="00E47560">
      <w:pPr>
        <w:pStyle w:val="KeinLeerraum"/>
      </w:pPr>
      <w:r>
        <w:t xml:space="preserve">(108) </w:t>
      </w:r>
      <w:proofErr w:type="spellStart"/>
      <w:r>
        <w:t>Fehlen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Angemessenheitsbeschlusses</w:t>
      </w:r>
      <w:proofErr w:type="spellEnd"/>
    </w:p>
    <w:p w14:paraId="413FCDDC" w14:textId="77777777" w:rsidR="00E47560" w:rsidRDefault="00E47560" w:rsidP="00E47560">
      <w:pPr>
        <w:pStyle w:val="KeinLeerraum"/>
      </w:pPr>
      <w:r>
        <w:t xml:space="preserve">(109) </w:t>
      </w:r>
      <w:proofErr w:type="spellStart"/>
      <w:r>
        <w:t>Verwendung</w:t>
      </w:r>
      <w:proofErr w:type="spellEnd"/>
      <w:r>
        <w:t xml:space="preserve"> von Standard-</w:t>
      </w:r>
      <w:proofErr w:type="spellStart"/>
      <w:r>
        <w:t>Datenschutzklauseln</w:t>
      </w:r>
      <w:proofErr w:type="spellEnd"/>
    </w:p>
    <w:p w14:paraId="47C937A7" w14:textId="77777777" w:rsidR="00E47560" w:rsidRDefault="00E47560" w:rsidP="00E47560">
      <w:pPr>
        <w:pStyle w:val="KeinLeerraum"/>
      </w:pPr>
      <w:r>
        <w:t xml:space="preserve">(110) </w:t>
      </w:r>
      <w:proofErr w:type="spellStart"/>
      <w:r>
        <w:t>Unternehmensinterne</w:t>
      </w:r>
      <w:proofErr w:type="spellEnd"/>
      <w:r>
        <w:t xml:space="preserve"> </w:t>
      </w:r>
      <w:proofErr w:type="spellStart"/>
      <w:r>
        <w:t>Datenschutzvorschriften</w:t>
      </w:r>
      <w:proofErr w:type="spellEnd"/>
    </w:p>
    <w:p w14:paraId="0D68ED7E" w14:textId="77777777" w:rsidR="00E47560" w:rsidRDefault="00E47560" w:rsidP="00E47560">
      <w:pPr>
        <w:pStyle w:val="KeinLeerraum"/>
      </w:pPr>
      <w:r>
        <w:t xml:space="preserve">(111) </w:t>
      </w:r>
      <w:proofErr w:type="spellStart"/>
      <w:r>
        <w:t>Zulässigkeit</w:t>
      </w:r>
      <w:proofErr w:type="spellEnd"/>
      <w:r>
        <w:t xml:space="preserve"> von </w:t>
      </w:r>
      <w:proofErr w:type="spellStart"/>
      <w:r>
        <w:t>Datenübermittlungen</w:t>
      </w:r>
      <w:proofErr w:type="spellEnd"/>
    </w:p>
    <w:p w14:paraId="0D6BBCDD" w14:textId="77777777" w:rsidR="00E47560" w:rsidRDefault="00E47560" w:rsidP="00E47560">
      <w:pPr>
        <w:pStyle w:val="KeinLeerraum"/>
      </w:pPr>
      <w:r>
        <w:t xml:space="preserve">(112) </w:t>
      </w:r>
      <w:proofErr w:type="spellStart"/>
      <w:r>
        <w:t>Ausnahmen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Wahrung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Interesses</w:t>
      </w:r>
    </w:p>
    <w:p w14:paraId="793925B3" w14:textId="77777777" w:rsidR="00E47560" w:rsidRDefault="00E47560" w:rsidP="00E47560">
      <w:pPr>
        <w:pStyle w:val="KeinLeerraum"/>
      </w:pPr>
      <w:r>
        <w:t xml:space="preserve">(113)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häufige</w:t>
      </w:r>
      <w:proofErr w:type="spellEnd"/>
      <w:r>
        <w:t xml:space="preserve"> und massive </w:t>
      </w:r>
      <w:proofErr w:type="spellStart"/>
      <w:r>
        <w:t>Übermittlungen</w:t>
      </w:r>
      <w:proofErr w:type="spellEnd"/>
    </w:p>
    <w:p w14:paraId="206845CE" w14:textId="77777777" w:rsidR="00E47560" w:rsidRDefault="00E47560" w:rsidP="00E47560">
      <w:pPr>
        <w:pStyle w:val="KeinLeerraum"/>
      </w:pPr>
      <w:r>
        <w:t xml:space="preserve">(114) </w:t>
      </w:r>
      <w:proofErr w:type="spellStart"/>
      <w:r>
        <w:t>Rückgriff</w:t>
      </w:r>
      <w:proofErr w:type="spellEnd"/>
      <w:r>
        <w:t xml:space="preserve"> auf </w:t>
      </w:r>
      <w:proofErr w:type="spellStart"/>
      <w:r>
        <w:t>Lösungen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Übermittlung</w:t>
      </w:r>
      <w:proofErr w:type="spellEnd"/>
      <w:r>
        <w:t xml:space="preserve"> an </w:t>
      </w:r>
      <w:proofErr w:type="spellStart"/>
      <w:r>
        <w:t>Drittland</w:t>
      </w:r>
      <w:proofErr w:type="spellEnd"/>
    </w:p>
    <w:p w14:paraId="5B4ABA63" w14:textId="77777777" w:rsidR="00E47560" w:rsidRDefault="00E47560" w:rsidP="00E47560">
      <w:pPr>
        <w:pStyle w:val="KeinLeerraum"/>
      </w:pPr>
      <w:r>
        <w:t xml:space="preserve">(115) </w:t>
      </w:r>
      <w:proofErr w:type="spellStart"/>
      <w:r>
        <w:t>Vorschriften</w:t>
      </w:r>
      <w:proofErr w:type="spellEnd"/>
      <w:r>
        <w:t xml:space="preserve"> von </w:t>
      </w:r>
      <w:proofErr w:type="spellStart"/>
      <w:r>
        <w:t>Drittländern</w:t>
      </w:r>
      <w:proofErr w:type="spellEnd"/>
      <w:r>
        <w:t xml:space="preserve"> die der </w:t>
      </w:r>
      <w:proofErr w:type="spellStart"/>
      <w:r>
        <w:t>Verordnung</w:t>
      </w:r>
      <w:proofErr w:type="spellEnd"/>
      <w:r>
        <w:t xml:space="preserve"> </w:t>
      </w:r>
      <w:proofErr w:type="spellStart"/>
      <w:r>
        <w:t>zuwiderlaufen</w:t>
      </w:r>
      <w:proofErr w:type="spellEnd"/>
      <w:r>
        <w:t xml:space="preserve"> </w:t>
      </w:r>
      <w:proofErr w:type="spellStart"/>
      <w:r>
        <w:t>könnten</w:t>
      </w:r>
      <w:proofErr w:type="spellEnd"/>
    </w:p>
    <w:p w14:paraId="5CDD5DE7" w14:textId="77777777" w:rsidR="00E47560" w:rsidRDefault="00E47560" w:rsidP="00E47560">
      <w:pPr>
        <w:pStyle w:val="KeinLeerraum"/>
      </w:pPr>
      <w:r>
        <w:t xml:space="preserve">(116)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Zusammenarbeit</w:t>
      </w:r>
      <w:proofErr w:type="spellEnd"/>
      <w:r>
        <w:t xml:space="preserve"> der </w:t>
      </w:r>
      <w:proofErr w:type="spellStart"/>
      <w:r>
        <w:t>Aufsichtsbehörden</w:t>
      </w:r>
      <w:proofErr w:type="spellEnd"/>
    </w:p>
    <w:p w14:paraId="33683D03" w14:textId="77777777" w:rsidR="00E47560" w:rsidRDefault="00E47560" w:rsidP="00E47560">
      <w:pPr>
        <w:pStyle w:val="KeinLeerraum"/>
      </w:pPr>
      <w:r>
        <w:t xml:space="preserve">(117) </w:t>
      </w:r>
      <w:proofErr w:type="spellStart"/>
      <w:r>
        <w:t>Errichtung</w:t>
      </w:r>
      <w:proofErr w:type="spellEnd"/>
      <w:r>
        <w:t xml:space="preserve"> </w:t>
      </w:r>
      <w:proofErr w:type="spellStart"/>
      <w:r>
        <w:t>unabhängiger</w:t>
      </w:r>
      <w:proofErr w:type="spellEnd"/>
      <w:r>
        <w:t xml:space="preserve"> </w:t>
      </w:r>
      <w:proofErr w:type="spellStart"/>
      <w:r>
        <w:t>Aufsichtsbehörden</w:t>
      </w:r>
      <w:proofErr w:type="spellEnd"/>
    </w:p>
    <w:p w14:paraId="40F96A9D" w14:textId="77777777" w:rsidR="00E47560" w:rsidRDefault="00E47560" w:rsidP="00E47560">
      <w:pPr>
        <w:pStyle w:val="KeinLeerraum"/>
      </w:pPr>
      <w:r>
        <w:t xml:space="preserve">(118)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Unterwerfung</w:t>
      </w:r>
      <w:proofErr w:type="spellEnd"/>
      <w:r>
        <w:t xml:space="preserve"> der </w:t>
      </w:r>
      <w:proofErr w:type="spellStart"/>
      <w:r>
        <w:t>Aufsichtsbehörden</w:t>
      </w:r>
      <w:proofErr w:type="spellEnd"/>
    </w:p>
    <w:p w14:paraId="3B7BF0A9" w14:textId="77777777" w:rsidR="00E47560" w:rsidRDefault="00E47560" w:rsidP="00E47560">
      <w:pPr>
        <w:pStyle w:val="KeinLeerraum"/>
      </w:pPr>
      <w:r>
        <w:t xml:space="preserve">(119)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Aufsichtsbehörden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Mitgliedstaat</w:t>
      </w:r>
      <w:proofErr w:type="spellEnd"/>
    </w:p>
    <w:p w14:paraId="1CCC6541" w14:textId="77777777" w:rsidR="00E47560" w:rsidRDefault="00E47560" w:rsidP="00E47560">
      <w:pPr>
        <w:pStyle w:val="KeinLeerraum"/>
      </w:pPr>
      <w:r>
        <w:t xml:space="preserve">(120) </w:t>
      </w:r>
      <w:proofErr w:type="spellStart"/>
      <w:r>
        <w:t>Notwendige</w:t>
      </w:r>
      <w:proofErr w:type="spellEnd"/>
      <w:r>
        <w:t xml:space="preserve"> </w:t>
      </w:r>
      <w:proofErr w:type="spellStart"/>
      <w:r>
        <w:t>Ausstattung</w:t>
      </w:r>
      <w:proofErr w:type="spellEnd"/>
      <w:r>
        <w:t xml:space="preserve"> der </w:t>
      </w:r>
      <w:proofErr w:type="spellStart"/>
      <w:r>
        <w:t>Aufsichtsbehörden</w:t>
      </w:r>
      <w:proofErr w:type="spellEnd"/>
    </w:p>
    <w:p w14:paraId="68552AA1" w14:textId="77777777" w:rsidR="00E47560" w:rsidRDefault="00E47560" w:rsidP="00E47560">
      <w:pPr>
        <w:pStyle w:val="KeinLeerraum"/>
      </w:pPr>
      <w:r>
        <w:t xml:space="preserve">(121)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Regelung</w:t>
      </w:r>
      <w:proofErr w:type="spellEnd"/>
      <w:r>
        <w:t xml:space="preserve"> der </w:t>
      </w:r>
      <w:proofErr w:type="spellStart"/>
      <w:r>
        <w:t>Anforderungen</w:t>
      </w:r>
      <w:proofErr w:type="spellEnd"/>
      <w:r>
        <w:t xml:space="preserve"> an </w:t>
      </w:r>
      <w:proofErr w:type="spellStart"/>
      <w:r>
        <w:t>Aufsichtsbehörde</w:t>
      </w:r>
      <w:proofErr w:type="spellEnd"/>
    </w:p>
    <w:p w14:paraId="26514F49" w14:textId="77777777" w:rsidR="00E47560" w:rsidRDefault="00E47560" w:rsidP="00E47560">
      <w:pPr>
        <w:pStyle w:val="KeinLeerraum"/>
      </w:pPr>
      <w:r>
        <w:t xml:space="preserve">(122) </w:t>
      </w:r>
      <w:proofErr w:type="spellStart"/>
      <w:r>
        <w:t>Befugnisse</w:t>
      </w:r>
      <w:proofErr w:type="spellEnd"/>
      <w:r>
        <w:t xml:space="preserve"> der </w:t>
      </w:r>
      <w:proofErr w:type="spellStart"/>
      <w:r>
        <w:t>Aufsichtsbehörde</w:t>
      </w:r>
      <w:proofErr w:type="spellEnd"/>
    </w:p>
    <w:p w14:paraId="185B7379" w14:textId="77777777" w:rsidR="00E47560" w:rsidRDefault="00E47560" w:rsidP="00E47560">
      <w:pPr>
        <w:pStyle w:val="KeinLeerraum"/>
      </w:pPr>
      <w:r>
        <w:t xml:space="preserve">(123) </w:t>
      </w:r>
      <w:proofErr w:type="spellStart"/>
      <w:r>
        <w:t>Zusammenarbeit</w:t>
      </w:r>
      <w:proofErr w:type="spellEnd"/>
      <w:r>
        <w:t xml:space="preserve"> der </w:t>
      </w:r>
      <w:proofErr w:type="spellStart"/>
      <w:r>
        <w:t>Aufsichtsbehörden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Kommission</w:t>
      </w:r>
      <w:proofErr w:type="spellEnd"/>
    </w:p>
    <w:p w14:paraId="0769952B" w14:textId="77777777" w:rsidR="00E47560" w:rsidRDefault="00E47560" w:rsidP="00E47560">
      <w:pPr>
        <w:pStyle w:val="KeinLeerraum"/>
      </w:pPr>
      <w:r>
        <w:t xml:space="preserve">(124) </w:t>
      </w:r>
      <w:proofErr w:type="spellStart"/>
      <w:r>
        <w:t>Federführende</w:t>
      </w:r>
      <w:proofErr w:type="spellEnd"/>
      <w:r>
        <w:t xml:space="preserve"> </w:t>
      </w:r>
      <w:proofErr w:type="spellStart"/>
      <w:r>
        <w:t>Aufsichtsbehörde</w:t>
      </w:r>
      <w:proofErr w:type="spellEnd"/>
    </w:p>
    <w:p w14:paraId="788C4C8A" w14:textId="77777777" w:rsidR="00E47560" w:rsidRDefault="00E47560" w:rsidP="00E47560">
      <w:pPr>
        <w:pStyle w:val="KeinLeerraum"/>
      </w:pPr>
      <w:r>
        <w:t xml:space="preserve">(125) </w:t>
      </w:r>
      <w:proofErr w:type="spellStart"/>
      <w:r>
        <w:t>Verbindliche</w:t>
      </w:r>
      <w:proofErr w:type="spellEnd"/>
      <w:r>
        <w:t xml:space="preserve"> </w:t>
      </w:r>
      <w:proofErr w:type="spellStart"/>
      <w:r>
        <w:t>Beschlüsse</w:t>
      </w:r>
      <w:proofErr w:type="spellEnd"/>
      <w:r>
        <w:t xml:space="preserve"> der </w:t>
      </w:r>
      <w:proofErr w:type="spellStart"/>
      <w:r>
        <w:t>federführenden</w:t>
      </w:r>
      <w:proofErr w:type="spellEnd"/>
      <w:r>
        <w:t xml:space="preserve"> </w:t>
      </w:r>
      <w:proofErr w:type="spellStart"/>
      <w:r>
        <w:t>Datenschutzaufsichtsbehörde</w:t>
      </w:r>
      <w:proofErr w:type="spellEnd"/>
    </w:p>
    <w:p w14:paraId="396133A2" w14:textId="77777777" w:rsidR="00E47560" w:rsidRDefault="00E47560" w:rsidP="00E47560">
      <w:pPr>
        <w:pStyle w:val="KeinLeerraum"/>
      </w:pPr>
      <w:r>
        <w:t xml:space="preserve">(126) </w:t>
      </w:r>
      <w:proofErr w:type="spellStart"/>
      <w:r>
        <w:t>Gemeinsamer</w:t>
      </w:r>
      <w:proofErr w:type="spellEnd"/>
      <w:r>
        <w:t xml:space="preserve"> </w:t>
      </w:r>
      <w:proofErr w:type="spellStart"/>
      <w:r>
        <w:t>Beschluss</w:t>
      </w:r>
      <w:proofErr w:type="spellEnd"/>
      <w:r>
        <w:t xml:space="preserve"> der </w:t>
      </w:r>
      <w:proofErr w:type="spellStart"/>
      <w:r>
        <w:t>federführenden</w:t>
      </w:r>
      <w:proofErr w:type="spellEnd"/>
      <w:r>
        <w:t xml:space="preserve"> und </w:t>
      </w:r>
      <w:proofErr w:type="spellStart"/>
      <w:r>
        <w:t>betroffenden</w:t>
      </w:r>
      <w:proofErr w:type="spellEnd"/>
      <w:r>
        <w:t xml:space="preserve"> </w:t>
      </w:r>
      <w:proofErr w:type="spellStart"/>
      <w:r>
        <w:t>Datenschutzaufsichtsbehörde</w:t>
      </w:r>
      <w:proofErr w:type="spellEnd"/>
    </w:p>
    <w:p w14:paraId="61069E19" w14:textId="77777777" w:rsidR="00E47560" w:rsidRDefault="00E47560" w:rsidP="00E47560">
      <w:pPr>
        <w:pStyle w:val="KeinLeerraum"/>
      </w:pPr>
      <w:r>
        <w:t xml:space="preserve">(127) </w:t>
      </w:r>
      <w:proofErr w:type="spellStart"/>
      <w:r>
        <w:t>Zuständigkeit</w:t>
      </w:r>
      <w:proofErr w:type="spellEnd"/>
      <w:r>
        <w:t xml:space="preserve"> der </w:t>
      </w:r>
      <w:proofErr w:type="spellStart"/>
      <w:r>
        <w:t>Aufsichtsbehörde</w:t>
      </w:r>
      <w:proofErr w:type="spellEnd"/>
      <w:r>
        <w:t xml:space="preserve"> die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federführende</w:t>
      </w:r>
      <w:proofErr w:type="spellEnd"/>
      <w:r>
        <w:t xml:space="preserve"> </w:t>
      </w:r>
      <w:proofErr w:type="spellStart"/>
      <w:r>
        <w:t>Datenschutzaufsichtsbehörde</w:t>
      </w:r>
      <w:proofErr w:type="spellEnd"/>
      <w:r>
        <w:t xml:space="preserve"> </w:t>
      </w:r>
      <w:proofErr w:type="spellStart"/>
      <w:r>
        <w:t>fungiert</w:t>
      </w:r>
      <w:proofErr w:type="spellEnd"/>
    </w:p>
    <w:p w14:paraId="55EC1386" w14:textId="77777777" w:rsidR="00E47560" w:rsidRDefault="00E47560" w:rsidP="00E47560">
      <w:pPr>
        <w:pStyle w:val="KeinLeerraum"/>
      </w:pPr>
      <w:r>
        <w:t xml:space="preserve">(128) </w:t>
      </w:r>
      <w:proofErr w:type="spellStart"/>
      <w:r>
        <w:t>Zuständige</w:t>
      </w:r>
      <w:proofErr w:type="spellEnd"/>
      <w:r>
        <w:t xml:space="preserve"> </w:t>
      </w:r>
      <w:proofErr w:type="spellStart"/>
      <w:r>
        <w:t>Aufsichtsbehörde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Interesse</w:t>
      </w:r>
    </w:p>
    <w:p w14:paraId="5CB5F1D7" w14:textId="77777777" w:rsidR="00E47560" w:rsidRDefault="00E47560" w:rsidP="00E47560">
      <w:pPr>
        <w:pStyle w:val="KeinLeerraum"/>
      </w:pPr>
      <w:r>
        <w:t xml:space="preserve">(129) </w:t>
      </w:r>
      <w:proofErr w:type="spellStart"/>
      <w:r>
        <w:t>Aufgaben</w:t>
      </w:r>
      <w:proofErr w:type="spellEnd"/>
      <w:r>
        <w:t xml:space="preserve"> und </w:t>
      </w:r>
      <w:proofErr w:type="spellStart"/>
      <w:r>
        <w:t>Befugnisse</w:t>
      </w:r>
      <w:proofErr w:type="spellEnd"/>
      <w:r>
        <w:t xml:space="preserve"> der </w:t>
      </w:r>
      <w:proofErr w:type="spellStart"/>
      <w:r>
        <w:t>Aufsichtsbehörden</w:t>
      </w:r>
      <w:proofErr w:type="spellEnd"/>
    </w:p>
    <w:p w14:paraId="4B0BB01A" w14:textId="77777777" w:rsidR="00E47560" w:rsidRDefault="00E47560" w:rsidP="00E47560">
      <w:pPr>
        <w:pStyle w:val="KeinLeerraum"/>
      </w:pPr>
      <w:r>
        <w:t xml:space="preserve">(130) </w:t>
      </w:r>
      <w:proofErr w:type="spellStart"/>
      <w:r>
        <w:t>Zusammenarbeit</w:t>
      </w:r>
      <w:proofErr w:type="spellEnd"/>
      <w:r>
        <w:t xml:space="preserve"> der </w:t>
      </w:r>
      <w:proofErr w:type="spellStart"/>
      <w:r>
        <w:t>Aufsichtsbehörde</w:t>
      </w:r>
      <w:proofErr w:type="spellEnd"/>
      <w:r>
        <w:t xml:space="preserve"> und der </w:t>
      </w:r>
      <w:proofErr w:type="spellStart"/>
      <w:r>
        <w:t>federführenden</w:t>
      </w:r>
      <w:proofErr w:type="spellEnd"/>
      <w:r>
        <w:t xml:space="preserve"> </w:t>
      </w:r>
      <w:proofErr w:type="spellStart"/>
      <w:r>
        <w:t>Datenschutzaufsichtsbehörde</w:t>
      </w:r>
      <w:proofErr w:type="spellEnd"/>
    </w:p>
    <w:p w14:paraId="1A6FBDF9" w14:textId="77777777" w:rsidR="00E47560" w:rsidRDefault="00E47560" w:rsidP="00E47560">
      <w:pPr>
        <w:pStyle w:val="KeinLeerraum"/>
      </w:pPr>
      <w:r>
        <w:t xml:space="preserve">(131) </w:t>
      </w:r>
      <w:proofErr w:type="spellStart"/>
      <w:r>
        <w:t>Erzielung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gütlichen</w:t>
      </w:r>
      <w:proofErr w:type="spellEnd"/>
      <w:r>
        <w:t xml:space="preserve"> </w:t>
      </w:r>
      <w:proofErr w:type="spellStart"/>
      <w:r>
        <w:t>Einigung</w:t>
      </w:r>
      <w:proofErr w:type="spellEnd"/>
      <w:r>
        <w:t xml:space="preserve"> der </w:t>
      </w:r>
      <w:proofErr w:type="spellStart"/>
      <w:r>
        <w:t>federführenden</w:t>
      </w:r>
      <w:proofErr w:type="spellEnd"/>
      <w:r>
        <w:t xml:space="preserve"> </w:t>
      </w:r>
      <w:proofErr w:type="spellStart"/>
      <w:r>
        <w:t>Datenschutzaufsichtsbehörde</w:t>
      </w:r>
      <w:proofErr w:type="spellEnd"/>
    </w:p>
    <w:p w14:paraId="4BD7BBD8" w14:textId="77777777" w:rsidR="00E47560" w:rsidRDefault="00E47560" w:rsidP="00E47560">
      <w:pPr>
        <w:pStyle w:val="KeinLeerraum"/>
      </w:pPr>
      <w:r>
        <w:t xml:space="preserve">(132) </w:t>
      </w:r>
      <w:proofErr w:type="spellStart"/>
      <w:r>
        <w:t>Aufklärungsmaßnahmen</w:t>
      </w:r>
      <w:proofErr w:type="spellEnd"/>
      <w:r>
        <w:t xml:space="preserve"> der </w:t>
      </w:r>
      <w:proofErr w:type="spellStart"/>
      <w:r>
        <w:t>Aufsichtsbehörden</w:t>
      </w:r>
      <w:proofErr w:type="spellEnd"/>
    </w:p>
    <w:p w14:paraId="2E4E24C3" w14:textId="77777777" w:rsidR="00E47560" w:rsidRDefault="00E47560" w:rsidP="00E47560">
      <w:pPr>
        <w:pStyle w:val="KeinLeerraum"/>
      </w:pPr>
      <w:r>
        <w:t xml:space="preserve">(133) </w:t>
      </w:r>
      <w:proofErr w:type="spellStart"/>
      <w:r>
        <w:t>Gegenseitige</w:t>
      </w:r>
      <w:proofErr w:type="spellEnd"/>
      <w:r>
        <w:t xml:space="preserve"> </w:t>
      </w:r>
      <w:proofErr w:type="spellStart"/>
      <w:r>
        <w:t>Unterstützung</w:t>
      </w:r>
      <w:proofErr w:type="spellEnd"/>
    </w:p>
    <w:p w14:paraId="06E517C6" w14:textId="77777777" w:rsidR="00E47560" w:rsidRDefault="00E47560" w:rsidP="00E47560">
      <w:pPr>
        <w:pStyle w:val="KeinLeerraum"/>
      </w:pPr>
      <w:r>
        <w:t xml:space="preserve">(134) 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Maßnahmen</w:t>
      </w:r>
      <w:proofErr w:type="spellEnd"/>
    </w:p>
    <w:p w14:paraId="1DCDAC9F" w14:textId="77777777" w:rsidR="00E47560" w:rsidRDefault="00E47560" w:rsidP="00E47560">
      <w:pPr>
        <w:pStyle w:val="KeinLeerraum"/>
      </w:pPr>
      <w:r>
        <w:t xml:space="preserve">(135) </w:t>
      </w:r>
      <w:proofErr w:type="spellStart"/>
      <w:r>
        <w:t>Kohärenzverfahren</w:t>
      </w:r>
      <w:proofErr w:type="spellEnd"/>
    </w:p>
    <w:p w14:paraId="7664113F" w14:textId="77777777" w:rsidR="00E47560" w:rsidRDefault="00E47560" w:rsidP="00E47560">
      <w:pPr>
        <w:pStyle w:val="KeinLeerraum"/>
      </w:pPr>
      <w:r>
        <w:t xml:space="preserve">(136) </w:t>
      </w:r>
      <w:proofErr w:type="spellStart"/>
      <w:r>
        <w:t>Abgabe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Kohärenzverfahren</w:t>
      </w:r>
      <w:proofErr w:type="spellEnd"/>
    </w:p>
    <w:p w14:paraId="77F694A5" w14:textId="77777777" w:rsidR="00E47560" w:rsidRDefault="00E47560" w:rsidP="00E47560">
      <w:pPr>
        <w:pStyle w:val="KeinLeerraum"/>
      </w:pPr>
      <w:r>
        <w:t xml:space="preserve">(137) </w:t>
      </w:r>
      <w:proofErr w:type="spellStart"/>
      <w:r>
        <w:t>Einstweilige</w:t>
      </w:r>
      <w:proofErr w:type="spellEnd"/>
      <w:r>
        <w:t xml:space="preserve"> </w:t>
      </w:r>
      <w:proofErr w:type="spellStart"/>
      <w:r>
        <w:t>Maßnahmen</w:t>
      </w:r>
      <w:proofErr w:type="spellEnd"/>
    </w:p>
    <w:p w14:paraId="49B17A66" w14:textId="77777777" w:rsidR="00E47560" w:rsidRDefault="00E47560" w:rsidP="00E47560">
      <w:pPr>
        <w:pStyle w:val="KeinLeerraum"/>
      </w:pPr>
      <w:r>
        <w:t xml:space="preserve">(138)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Kohärenzverfahren</w:t>
      </w:r>
      <w:proofErr w:type="spellEnd"/>
    </w:p>
    <w:p w14:paraId="38B169A8" w14:textId="77777777" w:rsidR="00E47560" w:rsidRDefault="00E47560" w:rsidP="00E47560">
      <w:pPr>
        <w:pStyle w:val="KeinLeerraum"/>
      </w:pPr>
      <w:r>
        <w:t xml:space="preserve">(139) </w:t>
      </w:r>
      <w:proofErr w:type="spellStart"/>
      <w:r>
        <w:t>Einrichtung</w:t>
      </w:r>
      <w:proofErr w:type="spellEnd"/>
      <w:r>
        <w:t xml:space="preserve"> </w:t>
      </w:r>
      <w:proofErr w:type="spellStart"/>
      <w:r>
        <w:t>Europäischer</w:t>
      </w:r>
      <w:proofErr w:type="spellEnd"/>
      <w:r>
        <w:t xml:space="preserve"> </w:t>
      </w:r>
      <w:proofErr w:type="spellStart"/>
      <w:r>
        <w:t>Datenschutzausschuss</w:t>
      </w:r>
      <w:proofErr w:type="spellEnd"/>
    </w:p>
    <w:p w14:paraId="092F1A44" w14:textId="77777777" w:rsidR="00E47560" w:rsidRDefault="00E47560" w:rsidP="00E47560">
      <w:pPr>
        <w:pStyle w:val="KeinLeerraum"/>
      </w:pPr>
      <w:r>
        <w:t xml:space="preserve">(140)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Ausschuss</w:t>
      </w:r>
      <w:proofErr w:type="spellEnd"/>
    </w:p>
    <w:p w14:paraId="6F0F5A13" w14:textId="77777777" w:rsidR="00E47560" w:rsidRDefault="00E47560" w:rsidP="00E47560">
      <w:pPr>
        <w:pStyle w:val="KeinLeerraum"/>
      </w:pPr>
      <w:r>
        <w:t xml:space="preserve">(141) </w:t>
      </w:r>
      <w:proofErr w:type="spellStart"/>
      <w:r>
        <w:t>Einreichung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Beschwerde</w:t>
      </w:r>
      <w:proofErr w:type="spellEnd"/>
    </w:p>
    <w:p w14:paraId="3AFF6DA9" w14:textId="77777777" w:rsidR="00E47560" w:rsidRDefault="00E47560" w:rsidP="00E47560">
      <w:pPr>
        <w:pStyle w:val="KeinLeerraum"/>
      </w:pPr>
      <w:r>
        <w:t xml:space="preserve">(142) </w:t>
      </w:r>
      <w:proofErr w:type="spellStart"/>
      <w:r>
        <w:t>Vertretung</w:t>
      </w:r>
      <w:proofErr w:type="spellEnd"/>
      <w:r>
        <w:t xml:space="preserve"> der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Einrichtungen</w:t>
      </w:r>
      <w:proofErr w:type="spellEnd"/>
      <w:r>
        <w:t xml:space="preserve">, </w:t>
      </w:r>
      <w:proofErr w:type="spellStart"/>
      <w:r>
        <w:t>Organisationen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Verbände</w:t>
      </w:r>
      <w:proofErr w:type="spellEnd"/>
    </w:p>
    <w:p w14:paraId="741EAF74" w14:textId="77777777" w:rsidR="00E47560" w:rsidRDefault="00E47560" w:rsidP="00E47560">
      <w:pPr>
        <w:pStyle w:val="KeinLeerraum"/>
      </w:pPr>
      <w:r>
        <w:t xml:space="preserve">(143) </w:t>
      </w:r>
      <w:proofErr w:type="spellStart"/>
      <w:r>
        <w:t>Gerichtliche</w:t>
      </w:r>
      <w:proofErr w:type="spellEnd"/>
      <w:r>
        <w:t xml:space="preserve"> </w:t>
      </w:r>
      <w:proofErr w:type="spellStart"/>
      <w:r>
        <w:t>Rechtsbehelfe</w:t>
      </w:r>
      <w:proofErr w:type="spellEnd"/>
    </w:p>
    <w:p w14:paraId="583DE4C8" w14:textId="77777777" w:rsidR="00E47560" w:rsidRDefault="00E47560" w:rsidP="00E47560">
      <w:pPr>
        <w:pStyle w:val="KeinLeerraum"/>
      </w:pPr>
      <w:r>
        <w:t xml:space="preserve">(144) </w:t>
      </w:r>
      <w:proofErr w:type="spellStart"/>
      <w:r>
        <w:t>Verwandte</w:t>
      </w:r>
      <w:proofErr w:type="spellEnd"/>
      <w:r>
        <w:t xml:space="preserve"> </w:t>
      </w:r>
      <w:proofErr w:type="spellStart"/>
      <w:r>
        <w:t>Verfahren</w:t>
      </w:r>
      <w:proofErr w:type="spellEnd"/>
    </w:p>
    <w:p w14:paraId="597EBF5F" w14:textId="77777777" w:rsidR="00E47560" w:rsidRDefault="00E47560" w:rsidP="00E47560">
      <w:pPr>
        <w:pStyle w:val="KeinLeerraum"/>
      </w:pPr>
      <w:r>
        <w:t xml:space="preserve">(145) Wahl des </w:t>
      </w:r>
      <w:proofErr w:type="spellStart"/>
      <w:r>
        <w:t>Klägers</w:t>
      </w:r>
      <w:proofErr w:type="spellEnd"/>
      <w:r>
        <w:t xml:space="preserve"> der </w:t>
      </w:r>
      <w:proofErr w:type="spellStart"/>
      <w:r>
        <w:t>Gerichte</w:t>
      </w:r>
      <w:proofErr w:type="spellEnd"/>
    </w:p>
    <w:p w14:paraId="6E807CDF" w14:textId="77777777" w:rsidR="00E47560" w:rsidRDefault="00E47560" w:rsidP="00E47560">
      <w:pPr>
        <w:pStyle w:val="KeinLeerraum"/>
      </w:pPr>
      <w:r>
        <w:t xml:space="preserve">(146) </w:t>
      </w:r>
      <w:proofErr w:type="spellStart"/>
      <w:r>
        <w:t>Schadenersatz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Verarbeitung</w:t>
      </w:r>
      <w:proofErr w:type="spellEnd"/>
    </w:p>
    <w:p w14:paraId="52435D4A" w14:textId="77777777" w:rsidR="00E47560" w:rsidRDefault="00E47560" w:rsidP="00E47560">
      <w:pPr>
        <w:pStyle w:val="KeinLeerraum"/>
      </w:pPr>
      <w:r>
        <w:lastRenderedPageBreak/>
        <w:t xml:space="preserve">(147) </w:t>
      </w:r>
      <w:proofErr w:type="spellStart"/>
      <w:r>
        <w:t>Spezifische</w:t>
      </w:r>
      <w:proofErr w:type="spellEnd"/>
      <w:r>
        <w:t xml:space="preserve"> </w:t>
      </w:r>
      <w:proofErr w:type="spellStart"/>
      <w:r>
        <w:t>Vorschriften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Gerichtsbarkeit</w:t>
      </w:r>
      <w:proofErr w:type="spellEnd"/>
    </w:p>
    <w:p w14:paraId="7D5EB778" w14:textId="77777777" w:rsidR="00E47560" w:rsidRDefault="00E47560" w:rsidP="00E47560">
      <w:pPr>
        <w:pStyle w:val="KeinLeerraum"/>
      </w:pPr>
      <w:r>
        <w:t xml:space="preserve">(148) </w:t>
      </w:r>
      <w:proofErr w:type="spellStart"/>
      <w:r>
        <w:t>Geldbußen</w:t>
      </w:r>
      <w:proofErr w:type="spellEnd"/>
    </w:p>
    <w:p w14:paraId="35B183C2" w14:textId="77777777" w:rsidR="00E47560" w:rsidRDefault="00E47560" w:rsidP="00E47560">
      <w:pPr>
        <w:pStyle w:val="KeinLeerraum"/>
      </w:pPr>
      <w:r>
        <w:t xml:space="preserve">(149) </w:t>
      </w:r>
      <w:proofErr w:type="spellStart"/>
      <w:r>
        <w:t>Festlegung</w:t>
      </w:r>
      <w:proofErr w:type="spellEnd"/>
      <w:r>
        <w:t xml:space="preserve"> der </w:t>
      </w:r>
      <w:proofErr w:type="spellStart"/>
      <w:r>
        <w:t>Sanktionen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Mitgliedsstaaten</w:t>
      </w:r>
      <w:proofErr w:type="spellEnd"/>
    </w:p>
    <w:p w14:paraId="76188B68" w14:textId="77777777" w:rsidR="00E47560" w:rsidRDefault="00E47560" w:rsidP="00E47560">
      <w:pPr>
        <w:pStyle w:val="KeinLeerraum"/>
      </w:pPr>
      <w:r>
        <w:t xml:space="preserve">(150) </w:t>
      </w:r>
      <w:proofErr w:type="spellStart"/>
      <w:r>
        <w:t>Verhängung</w:t>
      </w:r>
      <w:proofErr w:type="spellEnd"/>
      <w:r>
        <w:t xml:space="preserve"> von </w:t>
      </w:r>
      <w:proofErr w:type="spellStart"/>
      <w:r>
        <w:t>Geldbußen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Aufsichtsbehörde</w:t>
      </w:r>
      <w:proofErr w:type="spellEnd"/>
    </w:p>
    <w:p w14:paraId="26A8FE22" w14:textId="77777777" w:rsidR="00E47560" w:rsidRDefault="00E47560" w:rsidP="00E47560">
      <w:pPr>
        <w:pStyle w:val="KeinLeerraum"/>
      </w:pPr>
      <w:r>
        <w:t xml:space="preserve">(151) </w:t>
      </w:r>
      <w:proofErr w:type="spellStart"/>
      <w:r>
        <w:t>Anpassung</w:t>
      </w:r>
      <w:proofErr w:type="spellEnd"/>
      <w:r>
        <w:t xml:space="preserve"> der </w:t>
      </w:r>
      <w:proofErr w:type="spellStart"/>
      <w:r>
        <w:t>Geldbußen</w:t>
      </w:r>
      <w:proofErr w:type="spellEnd"/>
      <w:r>
        <w:t xml:space="preserve"> in </w:t>
      </w:r>
      <w:proofErr w:type="spellStart"/>
      <w:r>
        <w:t>Dänemark</w:t>
      </w:r>
      <w:proofErr w:type="spellEnd"/>
      <w:r>
        <w:t xml:space="preserve"> und </w:t>
      </w:r>
      <w:proofErr w:type="spellStart"/>
      <w:r>
        <w:t>Estland</w:t>
      </w:r>
      <w:proofErr w:type="spellEnd"/>
    </w:p>
    <w:p w14:paraId="3C2A20D0" w14:textId="77777777" w:rsidR="00E47560" w:rsidRDefault="00E47560" w:rsidP="00E47560">
      <w:pPr>
        <w:pStyle w:val="KeinLeerraum"/>
      </w:pPr>
      <w:r>
        <w:t xml:space="preserve">(152) </w:t>
      </w:r>
      <w:proofErr w:type="spellStart"/>
      <w:r>
        <w:t>Befugnis</w:t>
      </w:r>
      <w:proofErr w:type="spellEnd"/>
      <w:r>
        <w:t xml:space="preserve"> der </w:t>
      </w:r>
      <w:proofErr w:type="spellStart"/>
      <w:r>
        <w:t>Mitgliedsstaaten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Sanktionen</w:t>
      </w:r>
      <w:proofErr w:type="spellEnd"/>
    </w:p>
    <w:p w14:paraId="3739A9D3" w14:textId="77777777" w:rsidR="00E47560" w:rsidRDefault="00E47560" w:rsidP="00E47560">
      <w:pPr>
        <w:pStyle w:val="KeinLeerraum"/>
      </w:pPr>
      <w:r>
        <w:t xml:space="preserve">(153) </w:t>
      </w:r>
      <w:proofErr w:type="spellStart"/>
      <w:r>
        <w:t>Ausnahmen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literarischen</w:t>
      </w:r>
      <w:proofErr w:type="spellEnd"/>
      <w:r>
        <w:t xml:space="preserve">, </w:t>
      </w:r>
      <w:proofErr w:type="spellStart"/>
      <w:r>
        <w:t>künstlerischen</w:t>
      </w:r>
      <w:proofErr w:type="spellEnd"/>
      <w:r>
        <w:t xml:space="preserve"> &amp; </w:t>
      </w:r>
      <w:proofErr w:type="spellStart"/>
      <w:r>
        <w:t>journalistischen</w:t>
      </w:r>
      <w:proofErr w:type="spellEnd"/>
      <w:r>
        <w:t xml:space="preserve"> </w:t>
      </w:r>
      <w:proofErr w:type="spellStart"/>
      <w:r>
        <w:t>Zwecken</w:t>
      </w:r>
      <w:proofErr w:type="spellEnd"/>
    </w:p>
    <w:p w14:paraId="3A34CA76" w14:textId="77777777" w:rsidR="00E47560" w:rsidRDefault="00E47560" w:rsidP="00E47560">
      <w:pPr>
        <w:pStyle w:val="KeinLeerraum"/>
      </w:pPr>
      <w:r>
        <w:t xml:space="preserve">(154) </w:t>
      </w:r>
      <w:proofErr w:type="spellStart"/>
      <w:r>
        <w:t>Zugang</w:t>
      </w:r>
      <w:proofErr w:type="spellEnd"/>
      <w:r>
        <w:t xml:space="preserve"> der </w:t>
      </w:r>
      <w:proofErr w:type="spellStart"/>
      <w:r>
        <w:t>Öffentlichkeit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amtlichen</w:t>
      </w:r>
      <w:proofErr w:type="spellEnd"/>
      <w:r>
        <w:t xml:space="preserve"> </w:t>
      </w:r>
      <w:proofErr w:type="spellStart"/>
      <w:r>
        <w:t>Dokumenten</w:t>
      </w:r>
      <w:proofErr w:type="spellEnd"/>
    </w:p>
    <w:p w14:paraId="1647DD4C" w14:textId="77777777" w:rsidR="00E47560" w:rsidRDefault="00E47560" w:rsidP="00E47560">
      <w:pPr>
        <w:pStyle w:val="KeinLeerraum"/>
      </w:pPr>
      <w:r>
        <w:t xml:space="preserve">(155) </w:t>
      </w:r>
      <w:proofErr w:type="spellStart"/>
      <w:r>
        <w:t>Datenverarbeitung</w:t>
      </w:r>
      <w:proofErr w:type="spellEnd"/>
      <w:r>
        <w:t xml:space="preserve"> in </w:t>
      </w:r>
      <w:proofErr w:type="spellStart"/>
      <w:r>
        <w:t>Beschäftigungskontext</w:t>
      </w:r>
      <w:proofErr w:type="spellEnd"/>
    </w:p>
    <w:p w14:paraId="5E016A93" w14:textId="77777777" w:rsidR="00E47560" w:rsidRDefault="00E47560" w:rsidP="00E47560">
      <w:pPr>
        <w:pStyle w:val="KeinLeerraum"/>
      </w:pPr>
      <w:r>
        <w:t xml:space="preserve">(156)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statistischen</w:t>
      </w:r>
      <w:proofErr w:type="spellEnd"/>
      <w:r>
        <w:t xml:space="preserve"> und </w:t>
      </w:r>
      <w:proofErr w:type="spellStart"/>
      <w:r>
        <w:t>historischen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, </w:t>
      </w:r>
      <w:proofErr w:type="spellStart"/>
      <w:r>
        <w:t>Forschung</w:t>
      </w:r>
      <w:proofErr w:type="spellEnd"/>
    </w:p>
    <w:p w14:paraId="77626B8E" w14:textId="77777777" w:rsidR="00E47560" w:rsidRDefault="00E47560" w:rsidP="00E47560">
      <w:pPr>
        <w:pStyle w:val="KeinLeerraum"/>
      </w:pPr>
      <w:r>
        <w:t xml:space="preserve">(157) </w:t>
      </w:r>
      <w:proofErr w:type="spellStart"/>
      <w:r>
        <w:t>Verknüpfung</w:t>
      </w:r>
      <w:proofErr w:type="spellEnd"/>
      <w:r>
        <w:t xml:space="preserve"> der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Registern</w:t>
      </w:r>
      <w:proofErr w:type="spellEnd"/>
    </w:p>
    <w:p w14:paraId="15C524D8" w14:textId="77777777" w:rsidR="00E47560" w:rsidRDefault="00E47560" w:rsidP="00E47560">
      <w:pPr>
        <w:pStyle w:val="KeinLeerraum"/>
      </w:pPr>
      <w:r>
        <w:t xml:space="preserve">(158)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Archivzwecken</w:t>
      </w:r>
      <w:proofErr w:type="spellEnd"/>
    </w:p>
    <w:p w14:paraId="4723287E" w14:textId="77777777" w:rsidR="00E47560" w:rsidRDefault="00E47560" w:rsidP="00E47560">
      <w:pPr>
        <w:pStyle w:val="KeinLeerraum"/>
      </w:pPr>
      <w:r>
        <w:t xml:space="preserve">(159)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Forschung</w:t>
      </w:r>
      <w:proofErr w:type="spellEnd"/>
    </w:p>
    <w:p w14:paraId="2AD54231" w14:textId="77777777" w:rsidR="00E47560" w:rsidRDefault="00E47560" w:rsidP="00E47560">
      <w:pPr>
        <w:pStyle w:val="KeinLeerraum"/>
      </w:pPr>
      <w:r>
        <w:t xml:space="preserve">(160)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Forschungszwecke</w:t>
      </w:r>
      <w:proofErr w:type="spellEnd"/>
    </w:p>
    <w:p w14:paraId="5259122A" w14:textId="77777777" w:rsidR="00E47560" w:rsidRDefault="00E47560" w:rsidP="00E47560">
      <w:pPr>
        <w:pStyle w:val="KeinLeerraum"/>
      </w:pPr>
      <w:r>
        <w:t xml:space="preserve">(161)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Einwilligung</w:t>
      </w:r>
      <w:proofErr w:type="spellEnd"/>
      <w:r>
        <w:t xml:space="preserve"> in </w:t>
      </w:r>
      <w:proofErr w:type="spellStart"/>
      <w:r>
        <w:t>Teilnahme</w:t>
      </w:r>
      <w:proofErr w:type="spellEnd"/>
      <w:r>
        <w:t xml:space="preserve"> an </w:t>
      </w:r>
      <w:proofErr w:type="spellStart"/>
      <w:r>
        <w:t>wissenschaftliche</w:t>
      </w:r>
      <w:proofErr w:type="spellEnd"/>
      <w:r>
        <w:t xml:space="preserve"> </w:t>
      </w:r>
      <w:proofErr w:type="spellStart"/>
      <w:r>
        <w:t>Forschungstätigkeiten</w:t>
      </w:r>
      <w:proofErr w:type="spellEnd"/>
    </w:p>
    <w:p w14:paraId="3E1AB039" w14:textId="77777777" w:rsidR="00E47560" w:rsidRDefault="00E47560" w:rsidP="00E47560">
      <w:pPr>
        <w:pStyle w:val="KeinLeerraum"/>
      </w:pPr>
      <w:r>
        <w:t xml:space="preserve">(162) </w:t>
      </w:r>
      <w:proofErr w:type="spellStart"/>
      <w:r>
        <w:t>Statistische</w:t>
      </w:r>
      <w:proofErr w:type="spellEnd"/>
      <w:r>
        <w:t xml:space="preserve"> </w:t>
      </w:r>
      <w:proofErr w:type="spellStart"/>
      <w:r>
        <w:t>Zwecke</w:t>
      </w:r>
      <w:proofErr w:type="spellEnd"/>
    </w:p>
    <w:p w14:paraId="20E741D1" w14:textId="77777777" w:rsidR="00E47560" w:rsidRDefault="00E47560" w:rsidP="00E47560">
      <w:pPr>
        <w:pStyle w:val="KeinLeerraum"/>
      </w:pPr>
      <w:r>
        <w:t xml:space="preserve">(163)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amtliche</w:t>
      </w:r>
      <w:proofErr w:type="spellEnd"/>
      <w:r>
        <w:t xml:space="preserve"> </w:t>
      </w:r>
      <w:proofErr w:type="spellStart"/>
      <w:r>
        <w:t>Statistiken</w:t>
      </w:r>
      <w:proofErr w:type="spellEnd"/>
    </w:p>
    <w:p w14:paraId="62D4B0DC" w14:textId="77777777" w:rsidR="00E47560" w:rsidRDefault="00E47560" w:rsidP="00E47560">
      <w:pPr>
        <w:pStyle w:val="KeinLeerraum"/>
      </w:pPr>
      <w:r>
        <w:t xml:space="preserve">(164) </w:t>
      </w:r>
      <w:proofErr w:type="spellStart"/>
      <w:r>
        <w:t>Regelung</w:t>
      </w:r>
      <w:proofErr w:type="spellEnd"/>
      <w:r>
        <w:t xml:space="preserve"> von </w:t>
      </w:r>
      <w:proofErr w:type="spellStart"/>
      <w:r>
        <w:t>Geheimhaltungsvorschriften</w:t>
      </w:r>
      <w:proofErr w:type="spellEnd"/>
    </w:p>
    <w:p w14:paraId="1491E222" w14:textId="77777777" w:rsidR="00E47560" w:rsidRDefault="00E47560" w:rsidP="00E47560">
      <w:pPr>
        <w:pStyle w:val="KeinLeerraum"/>
      </w:pPr>
      <w:r>
        <w:t xml:space="preserve">(165) </w:t>
      </w:r>
      <w:proofErr w:type="spellStart"/>
      <w:r>
        <w:t>Datenschutz</w:t>
      </w:r>
      <w:proofErr w:type="spellEnd"/>
      <w:r>
        <w:t xml:space="preserve"> in </w:t>
      </w:r>
      <w:proofErr w:type="spellStart"/>
      <w:r>
        <w:t>Kirche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religiösen</w:t>
      </w:r>
      <w:proofErr w:type="spellEnd"/>
      <w:r>
        <w:t xml:space="preserve"> </w:t>
      </w:r>
      <w:proofErr w:type="spellStart"/>
      <w:r>
        <w:t>Vereinigungen</w:t>
      </w:r>
      <w:proofErr w:type="spellEnd"/>
    </w:p>
    <w:p w14:paraId="3B9CEFA5" w14:textId="77777777" w:rsidR="00E47560" w:rsidRDefault="00E47560" w:rsidP="00E47560">
      <w:pPr>
        <w:pStyle w:val="KeinLeerraum"/>
      </w:pPr>
      <w:r>
        <w:t xml:space="preserve">(166) </w:t>
      </w:r>
      <w:proofErr w:type="spellStart"/>
      <w:r>
        <w:t>Rechtsakte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Befugnis</w:t>
      </w:r>
      <w:proofErr w:type="spellEnd"/>
      <w:r>
        <w:t xml:space="preserve"> der </w:t>
      </w:r>
      <w:proofErr w:type="spellStart"/>
      <w:r>
        <w:t>Kommission</w:t>
      </w:r>
      <w:proofErr w:type="spellEnd"/>
    </w:p>
    <w:p w14:paraId="0EA256C0" w14:textId="77777777" w:rsidR="00E47560" w:rsidRDefault="00E47560" w:rsidP="00E47560">
      <w:pPr>
        <w:pStyle w:val="KeinLeerraum"/>
      </w:pPr>
      <w:r>
        <w:t xml:space="preserve">(167) </w:t>
      </w:r>
      <w:proofErr w:type="spellStart"/>
      <w:r>
        <w:t>Durchführungsbefugnisse</w:t>
      </w:r>
      <w:proofErr w:type="spellEnd"/>
      <w:r>
        <w:t xml:space="preserve"> der </w:t>
      </w:r>
      <w:proofErr w:type="spellStart"/>
      <w:r>
        <w:t>Kommission</w:t>
      </w:r>
      <w:proofErr w:type="spellEnd"/>
    </w:p>
    <w:p w14:paraId="04E6B402" w14:textId="77777777" w:rsidR="00E47560" w:rsidRDefault="00E47560" w:rsidP="00E47560">
      <w:pPr>
        <w:pStyle w:val="KeinLeerraum"/>
      </w:pPr>
      <w:r>
        <w:t xml:space="preserve">(168) </w:t>
      </w:r>
      <w:proofErr w:type="spellStart"/>
      <w:r>
        <w:t>Prüfverfahren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Erlass</w:t>
      </w:r>
      <w:proofErr w:type="spellEnd"/>
      <w:r>
        <w:t xml:space="preserve"> von </w:t>
      </w:r>
      <w:proofErr w:type="spellStart"/>
      <w:r>
        <w:t>Standardvertragsklauseln</w:t>
      </w:r>
      <w:proofErr w:type="spellEnd"/>
    </w:p>
    <w:p w14:paraId="2194634E" w14:textId="77777777" w:rsidR="00E47560" w:rsidRDefault="00E47560" w:rsidP="00E47560">
      <w:pPr>
        <w:pStyle w:val="KeinLeerraum"/>
      </w:pPr>
      <w:r>
        <w:t xml:space="preserve">(169) </w:t>
      </w:r>
      <w:proofErr w:type="spellStart"/>
      <w:r>
        <w:t>Erlass</w:t>
      </w:r>
      <w:proofErr w:type="spellEnd"/>
      <w:r>
        <w:t xml:space="preserve"> </w:t>
      </w:r>
      <w:proofErr w:type="spellStart"/>
      <w:r>
        <w:t>geltender</w:t>
      </w:r>
      <w:proofErr w:type="spellEnd"/>
      <w:r>
        <w:t xml:space="preserve"> </w:t>
      </w:r>
      <w:proofErr w:type="spellStart"/>
      <w:r>
        <w:t>Durchführungsrechtsakte</w:t>
      </w:r>
      <w:proofErr w:type="spellEnd"/>
    </w:p>
    <w:p w14:paraId="54B2721D" w14:textId="77777777" w:rsidR="00E47560" w:rsidRDefault="00E47560" w:rsidP="00E47560">
      <w:pPr>
        <w:pStyle w:val="KeinLeerraum"/>
      </w:pPr>
      <w:r>
        <w:t xml:space="preserve">(170) </w:t>
      </w:r>
      <w:proofErr w:type="spellStart"/>
      <w:r>
        <w:t>Subsidiaritäts</w:t>
      </w:r>
      <w:proofErr w:type="spellEnd"/>
      <w:r>
        <w:t xml:space="preserve">- und </w:t>
      </w:r>
      <w:proofErr w:type="spellStart"/>
      <w:r>
        <w:t>Verhältnismäßigkeitsprinzip</w:t>
      </w:r>
      <w:proofErr w:type="spellEnd"/>
    </w:p>
    <w:p w14:paraId="5CD0A703" w14:textId="77777777" w:rsidR="00E47560" w:rsidRDefault="00E47560" w:rsidP="00E47560">
      <w:pPr>
        <w:pStyle w:val="KeinLeerraum"/>
      </w:pPr>
      <w:r>
        <w:t xml:space="preserve">(171) </w:t>
      </w:r>
      <w:proofErr w:type="spellStart"/>
      <w:r>
        <w:t>Aufhebung</w:t>
      </w:r>
      <w:proofErr w:type="spellEnd"/>
      <w:r>
        <w:t xml:space="preserve"> der </w:t>
      </w:r>
      <w:proofErr w:type="spellStart"/>
      <w:r>
        <w:t>Richtlinie</w:t>
      </w:r>
      <w:proofErr w:type="spellEnd"/>
      <w:r>
        <w:t xml:space="preserve"> 95/46/EG</w:t>
      </w:r>
    </w:p>
    <w:p w14:paraId="4BA40E2F" w14:textId="77777777" w:rsidR="00E47560" w:rsidRDefault="00E47560" w:rsidP="00E47560">
      <w:pPr>
        <w:pStyle w:val="KeinLeerraum"/>
      </w:pPr>
      <w:r>
        <w:t xml:space="preserve">(172) </w:t>
      </w:r>
      <w:proofErr w:type="spellStart"/>
      <w:r>
        <w:t>Konsultierung</w:t>
      </w:r>
      <w:proofErr w:type="spellEnd"/>
      <w:r>
        <w:t xml:space="preserve">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Datenschutzbeauftragten</w:t>
      </w:r>
      <w:proofErr w:type="spellEnd"/>
    </w:p>
    <w:p w14:paraId="6FC0F0B8" w14:textId="77777777" w:rsidR="00E47560" w:rsidRDefault="00E47560" w:rsidP="00E47560">
      <w:pPr>
        <w:pStyle w:val="KeinLeerraum"/>
      </w:pPr>
      <w:r>
        <w:t xml:space="preserve">(173) </w:t>
      </w:r>
      <w:proofErr w:type="spellStart"/>
      <w:r>
        <w:t>Verhältnis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Richtlinie</w:t>
      </w:r>
      <w:proofErr w:type="spellEnd"/>
      <w:r>
        <w:t xml:space="preserve"> 2002/58/EG</w:t>
      </w:r>
    </w:p>
    <w:p w14:paraId="57DFC644" w14:textId="77777777" w:rsidR="00E47560" w:rsidRPr="00A82246" w:rsidRDefault="00E47560" w:rsidP="00E47560">
      <w:pPr>
        <w:pStyle w:val="KeinLeerraum"/>
      </w:pPr>
    </w:p>
    <w:p w14:paraId="081DF02E" w14:textId="77777777" w:rsidR="00552745" w:rsidRPr="00A25351" w:rsidRDefault="00552745" w:rsidP="00E47560">
      <w:pPr>
        <w:spacing w:after="254" w:line="241" w:lineRule="auto"/>
        <w:ind w:left="-5" w:right="-13"/>
        <w:rPr>
          <w:lang w:val="de-DE"/>
        </w:rPr>
      </w:pPr>
    </w:p>
    <w:sectPr w:rsidR="00552745" w:rsidRPr="00A25351" w:rsidSect="00CA4327">
      <w:headerReference w:type="even" r:id="rId7"/>
      <w:foot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F64E" w14:textId="77777777" w:rsidR="007D4AB7" w:rsidRDefault="007D4AB7" w:rsidP="00244E21">
      <w:pPr>
        <w:spacing w:before="0" w:after="0"/>
      </w:pPr>
      <w:r>
        <w:separator/>
      </w:r>
    </w:p>
  </w:endnote>
  <w:endnote w:type="continuationSeparator" w:id="0">
    <w:p w14:paraId="6A9A5677" w14:textId="77777777" w:rsidR="007D4AB7" w:rsidRDefault="007D4AB7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958016"/>
      <w:docPartObj>
        <w:docPartGallery w:val="Page Numbers (Bottom of Page)"/>
        <w:docPartUnique/>
      </w:docPartObj>
    </w:sdtPr>
    <w:sdtEndPr/>
    <w:sdtContent>
      <w:p w14:paraId="4A7EFA55" w14:textId="77777777" w:rsidR="0021711C" w:rsidRDefault="002171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2B" w:rsidRPr="00E8672B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E318" w14:textId="77777777" w:rsidR="007D4AB7" w:rsidRDefault="007D4AB7" w:rsidP="00244E21">
      <w:pPr>
        <w:spacing w:before="0" w:after="0"/>
      </w:pPr>
      <w:r>
        <w:separator/>
      </w:r>
    </w:p>
  </w:footnote>
  <w:footnote w:type="continuationSeparator" w:id="0">
    <w:p w14:paraId="2EF46A33" w14:textId="77777777" w:rsidR="007D4AB7" w:rsidRDefault="007D4AB7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DC19" w14:textId="77777777" w:rsidR="008D510D" w:rsidRPr="008D510D" w:rsidRDefault="008D510D" w:rsidP="008D510D">
    <w:pPr>
      <w:pStyle w:val="Kopfzeile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14:paraId="2A9D9AA7" w14:textId="77777777" w:rsidR="008D510D" w:rsidRDefault="008D51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DF5BA" w14:textId="77777777" w:rsidR="00263C40" w:rsidRDefault="00452D2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A7B24" wp14:editId="4D109343">
              <wp:simplePos x="0" y="0"/>
              <wp:positionH relativeFrom="page">
                <wp:align>left</wp:align>
              </wp:positionH>
              <wp:positionV relativeFrom="paragraph">
                <wp:posOffset>-1176020</wp:posOffset>
              </wp:positionV>
              <wp:extent cx="7861300" cy="134239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342390"/>
                      </a:xfrm>
                      <a:prstGeom prst="rect">
                        <a:avLst/>
                      </a:prstGeom>
                      <a:solidFill>
                        <a:srgbClr val="556D7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ADCC" id="Rectangle 1" o:spid="_x0000_s1026" style="position:absolute;margin-left:0;margin-top:-92.6pt;width:619pt;height:105.7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" fillcolor="#556d7d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45B18"/>
    <w:multiLevelType w:val="hybridMultilevel"/>
    <w:tmpl w:val="F68E60B0"/>
    <w:lvl w:ilvl="0" w:tplc="A172353A">
      <w:start w:val="1"/>
      <w:numFmt w:val="bullet"/>
      <w:pStyle w:val="Listenabsatz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c6b5,#322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E8"/>
    <w:rsid w:val="00003ABD"/>
    <w:rsid w:val="00003CE8"/>
    <w:rsid w:val="00004F63"/>
    <w:rsid w:val="00007FF8"/>
    <w:rsid w:val="00011807"/>
    <w:rsid w:val="00017E24"/>
    <w:rsid w:val="00023029"/>
    <w:rsid w:val="00025E8B"/>
    <w:rsid w:val="00026324"/>
    <w:rsid w:val="00056A75"/>
    <w:rsid w:val="00061F40"/>
    <w:rsid w:val="00064F14"/>
    <w:rsid w:val="000675EC"/>
    <w:rsid w:val="00072032"/>
    <w:rsid w:val="000A6F0F"/>
    <w:rsid w:val="000B01D5"/>
    <w:rsid w:val="000E14F1"/>
    <w:rsid w:val="000E34CC"/>
    <w:rsid w:val="000E6036"/>
    <w:rsid w:val="001059F8"/>
    <w:rsid w:val="00114A9F"/>
    <w:rsid w:val="00114FCD"/>
    <w:rsid w:val="00117EC5"/>
    <w:rsid w:val="00130300"/>
    <w:rsid w:val="00132210"/>
    <w:rsid w:val="00171AB4"/>
    <w:rsid w:val="00196A5A"/>
    <w:rsid w:val="001A5D40"/>
    <w:rsid w:val="001B14A8"/>
    <w:rsid w:val="001C1D1C"/>
    <w:rsid w:val="001E643B"/>
    <w:rsid w:val="0020278E"/>
    <w:rsid w:val="0021711C"/>
    <w:rsid w:val="00232683"/>
    <w:rsid w:val="002326A9"/>
    <w:rsid w:val="00235EC2"/>
    <w:rsid w:val="002417DB"/>
    <w:rsid w:val="00244E21"/>
    <w:rsid w:val="0025334C"/>
    <w:rsid w:val="00263C40"/>
    <w:rsid w:val="002755F7"/>
    <w:rsid w:val="00284E1B"/>
    <w:rsid w:val="002C36E1"/>
    <w:rsid w:val="002C5862"/>
    <w:rsid w:val="002C74AB"/>
    <w:rsid w:val="002E5C0A"/>
    <w:rsid w:val="002F7BA7"/>
    <w:rsid w:val="00303D04"/>
    <w:rsid w:val="0030715F"/>
    <w:rsid w:val="00310CF6"/>
    <w:rsid w:val="00315070"/>
    <w:rsid w:val="003515A1"/>
    <w:rsid w:val="003A0435"/>
    <w:rsid w:val="003A0B76"/>
    <w:rsid w:val="003A56E6"/>
    <w:rsid w:val="003C6BA3"/>
    <w:rsid w:val="003D4019"/>
    <w:rsid w:val="003D5959"/>
    <w:rsid w:val="003E04FC"/>
    <w:rsid w:val="003E3204"/>
    <w:rsid w:val="003E7AA5"/>
    <w:rsid w:val="003F689D"/>
    <w:rsid w:val="003F6941"/>
    <w:rsid w:val="00400EF1"/>
    <w:rsid w:val="0041006F"/>
    <w:rsid w:val="0041696B"/>
    <w:rsid w:val="00416E0C"/>
    <w:rsid w:val="00420651"/>
    <w:rsid w:val="004206A8"/>
    <w:rsid w:val="0042730D"/>
    <w:rsid w:val="00436CE9"/>
    <w:rsid w:val="00452D2F"/>
    <w:rsid w:val="00472E3C"/>
    <w:rsid w:val="00480F59"/>
    <w:rsid w:val="0049549A"/>
    <w:rsid w:val="004B3907"/>
    <w:rsid w:val="004D5808"/>
    <w:rsid w:val="004E46A6"/>
    <w:rsid w:val="004E60FD"/>
    <w:rsid w:val="005176E8"/>
    <w:rsid w:val="00530183"/>
    <w:rsid w:val="005422C4"/>
    <w:rsid w:val="00552745"/>
    <w:rsid w:val="00570FB5"/>
    <w:rsid w:val="00572E1A"/>
    <w:rsid w:val="00576B38"/>
    <w:rsid w:val="005824C4"/>
    <w:rsid w:val="00582FC5"/>
    <w:rsid w:val="005842EF"/>
    <w:rsid w:val="00587644"/>
    <w:rsid w:val="005A3B17"/>
    <w:rsid w:val="005C0E69"/>
    <w:rsid w:val="005D4EB0"/>
    <w:rsid w:val="005E5973"/>
    <w:rsid w:val="005F2F01"/>
    <w:rsid w:val="006354C7"/>
    <w:rsid w:val="006577FB"/>
    <w:rsid w:val="00663780"/>
    <w:rsid w:val="00671A74"/>
    <w:rsid w:val="006746E3"/>
    <w:rsid w:val="006818A5"/>
    <w:rsid w:val="00690E5F"/>
    <w:rsid w:val="006A6D89"/>
    <w:rsid w:val="006E09BE"/>
    <w:rsid w:val="0071532A"/>
    <w:rsid w:val="00717180"/>
    <w:rsid w:val="00724969"/>
    <w:rsid w:val="00750203"/>
    <w:rsid w:val="00762021"/>
    <w:rsid w:val="00764F37"/>
    <w:rsid w:val="007B4D4F"/>
    <w:rsid w:val="007D4AB7"/>
    <w:rsid w:val="007E3FC1"/>
    <w:rsid w:val="007E67B7"/>
    <w:rsid w:val="007F6765"/>
    <w:rsid w:val="00805E81"/>
    <w:rsid w:val="00812BE4"/>
    <w:rsid w:val="008136A7"/>
    <w:rsid w:val="00846D56"/>
    <w:rsid w:val="00847459"/>
    <w:rsid w:val="00851DBE"/>
    <w:rsid w:val="0085515A"/>
    <w:rsid w:val="00875489"/>
    <w:rsid w:val="008B34C7"/>
    <w:rsid w:val="008B7F20"/>
    <w:rsid w:val="008C0075"/>
    <w:rsid w:val="008D510D"/>
    <w:rsid w:val="008F1BCD"/>
    <w:rsid w:val="009044FD"/>
    <w:rsid w:val="009045C1"/>
    <w:rsid w:val="00942F38"/>
    <w:rsid w:val="00957B60"/>
    <w:rsid w:val="00977E83"/>
    <w:rsid w:val="00984C4F"/>
    <w:rsid w:val="00995AD1"/>
    <w:rsid w:val="009C4C97"/>
    <w:rsid w:val="009F1B33"/>
    <w:rsid w:val="009F3964"/>
    <w:rsid w:val="00A01AB1"/>
    <w:rsid w:val="00A05199"/>
    <w:rsid w:val="00A237ED"/>
    <w:rsid w:val="00A23934"/>
    <w:rsid w:val="00A25351"/>
    <w:rsid w:val="00A334EA"/>
    <w:rsid w:val="00A419CB"/>
    <w:rsid w:val="00A510EA"/>
    <w:rsid w:val="00A579C6"/>
    <w:rsid w:val="00A67258"/>
    <w:rsid w:val="00A72A88"/>
    <w:rsid w:val="00A8620F"/>
    <w:rsid w:val="00AB28F8"/>
    <w:rsid w:val="00AC7020"/>
    <w:rsid w:val="00AE0F2C"/>
    <w:rsid w:val="00AF321F"/>
    <w:rsid w:val="00B04781"/>
    <w:rsid w:val="00B04F18"/>
    <w:rsid w:val="00B120AD"/>
    <w:rsid w:val="00B1548D"/>
    <w:rsid w:val="00B17B0B"/>
    <w:rsid w:val="00B2358E"/>
    <w:rsid w:val="00B277AB"/>
    <w:rsid w:val="00B321BD"/>
    <w:rsid w:val="00B35D2A"/>
    <w:rsid w:val="00B5198B"/>
    <w:rsid w:val="00B51A47"/>
    <w:rsid w:val="00B53720"/>
    <w:rsid w:val="00B63C6F"/>
    <w:rsid w:val="00B810E8"/>
    <w:rsid w:val="00B83D99"/>
    <w:rsid w:val="00B8597A"/>
    <w:rsid w:val="00B86CF3"/>
    <w:rsid w:val="00B87E19"/>
    <w:rsid w:val="00B95600"/>
    <w:rsid w:val="00BA187B"/>
    <w:rsid w:val="00BA3C82"/>
    <w:rsid w:val="00BA3E82"/>
    <w:rsid w:val="00BC61DF"/>
    <w:rsid w:val="00BE3F29"/>
    <w:rsid w:val="00BE775D"/>
    <w:rsid w:val="00BF4D76"/>
    <w:rsid w:val="00C13DA1"/>
    <w:rsid w:val="00C163FE"/>
    <w:rsid w:val="00C245D0"/>
    <w:rsid w:val="00C50ECC"/>
    <w:rsid w:val="00C56686"/>
    <w:rsid w:val="00C57092"/>
    <w:rsid w:val="00C6376A"/>
    <w:rsid w:val="00C667FC"/>
    <w:rsid w:val="00C81F96"/>
    <w:rsid w:val="00C86498"/>
    <w:rsid w:val="00C97A5C"/>
    <w:rsid w:val="00CA4327"/>
    <w:rsid w:val="00CB1A94"/>
    <w:rsid w:val="00CB3F39"/>
    <w:rsid w:val="00CC1285"/>
    <w:rsid w:val="00D06ED0"/>
    <w:rsid w:val="00D07CC0"/>
    <w:rsid w:val="00D225D3"/>
    <w:rsid w:val="00D37A9F"/>
    <w:rsid w:val="00D54B30"/>
    <w:rsid w:val="00D80143"/>
    <w:rsid w:val="00DE435D"/>
    <w:rsid w:val="00DE5DEB"/>
    <w:rsid w:val="00DF614E"/>
    <w:rsid w:val="00E0187D"/>
    <w:rsid w:val="00E22A1E"/>
    <w:rsid w:val="00E278DF"/>
    <w:rsid w:val="00E31D4A"/>
    <w:rsid w:val="00E34E9B"/>
    <w:rsid w:val="00E35674"/>
    <w:rsid w:val="00E42FC5"/>
    <w:rsid w:val="00E47560"/>
    <w:rsid w:val="00E53D93"/>
    <w:rsid w:val="00E618B2"/>
    <w:rsid w:val="00E7604D"/>
    <w:rsid w:val="00E8672B"/>
    <w:rsid w:val="00EA7E31"/>
    <w:rsid w:val="00EE50FA"/>
    <w:rsid w:val="00F0214F"/>
    <w:rsid w:val="00F426C8"/>
    <w:rsid w:val="00F84AC8"/>
    <w:rsid w:val="00F92872"/>
    <w:rsid w:val="00F97953"/>
    <w:rsid w:val="00FC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c6b5,#322936"/>
    </o:shapedefaults>
    <o:shapelayout v:ext="edit">
      <o:idmap v:ext="edit" data="1"/>
    </o:shapelayout>
  </w:shapeDefaults>
  <w:decimalSymbol w:val=","/>
  <w:listSeparator w:val=";"/>
  <w14:docId w14:val="0ED6A189"/>
  <w15:docId w15:val="{8C49B36D-D079-4DB4-8012-DA50AF07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15A"/>
    <w:pPr>
      <w:spacing w:before="80" w:after="40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0E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Standard"/>
    <w:qFormat/>
    <w:rsid w:val="00B95600"/>
    <w:rPr>
      <w:b/>
      <w:color w:val="2F3133"/>
      <w:sz w:val="28"/>
      <w:szCs w:val="28"/>
    </w:rPr>
  </w:style>
  <w:style w:type="paragraph" w:styleId="Listenabsatz">
    <w:name w:val="List Paragraph"/>
    <w:basedOn w:val="Standard"/>
    <w:uiPriority w:val="34"/>
    <w:qFormat/>
    <w:rsid w:val="00F97953"/>
    <w:pPr>
      <w:numPr>
        <w:numId w:val="5"/>
      </w:numPr>
    </w:pPr>
  </w:style>
  <w:style w:type="paragraph" w:customStyle="1" w:styleId="Name">
    <w:name w:val="Name"/>
    <w:basedOn w:val="Standard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Standard"/>
    <w:qFormat/>
    <w:rsid w:val="003D4019"/>
    <w:rPr>
      <w:b/>
    </w:rPr>
  </w:style>
  <w:style w:type="paragraph" w:customStyle="1" w:styleId="ContactInfo">
    <w:name w:val="Contact Info"/>
    <w:basedOn w:val="Standard"/>
    <w:qFormat/>
    <w:rsid w:val="00023029"/>
    <w:pPr>
      <w:spacing w:before="0" w:after="0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E21"/>
    <w:rPr>
      <w:rFonts w:asciiTheme="majorHAnsi" w:hAnsiTheme="majorHAnsi"/>
    </w:rPr>
  </w:style>
  <w:style w:type="paragraph" w:styleId="Fuzeile">
    <w:name w:val="footer"/>
    <w:basedOn w:val="Standard"/>
    <w:link w:val="FuzeileZchn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Standard"/>
    <w:qFormat/>
    <w:rsid w:val="00263C40"/>
    <w:pPr>
      <w:spacing w:before="0"/>
      <w:jc w:val="right"/>
    </w:pPr>
  </w:style>
  <w:style w:type="character" w:customStyle="1" w:styleId="hps">
    <w:name w:val="hps"/>
    <w:basedOn w:val="Absatz-Standardschriftart"/>
    <w:rsid w:val="00436CE9"/>
  </w:style>
  <w:style w:type="paragraph" w:styleId="KeinLeerraum">
    <w:name w:val="No Spacing"/>
    <w:uiPriority w:val="1"/>
    <w:qFormat/>
    <w:rsid w:val="0030715F"/>
    <w:pPr>
      <w:spacing w:after="0"/>
    </w:pPr>
    <w:rPr>
      <w:rFonts w:asciiTheme="majorHAnsi" w:hAnsiTheme="majorHAnsi"/>
    </w:rPr>
  </w:style>
  <w:style w:type="paragraph" w:customStyle="1" w:styleId="Default">
    <w:name w:val="Default"/>
    <w:rsid w:val="009045C1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2138</Words>
  <Characters>13476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ModifiedBy>HR</cp:lastModifiedBy>
  <cp:revision>6</cp:revision>
  <cp:lastPrinted>2015-05-12T11:21:00Z</cp:lastPrinted>
  <dcterms:created xsi:type="dcterms:W3CDTF">2019-11-16T10:29:00Z</dcterms:created>
  <dcterms:modified xsi:type="dcterms:W3CDTF">2019-12-06T13:24:00Z</dcterms:modified>
</cp:coreProperties>
</file>